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both"/>
        <w:rPr>
          <w:rFonts w:hint="eastAsia" w:ascii="方正仿宋简体" w:eastAsia="方正仿宋简体"/>
          <w:color w:val="000000"/>
          <w:sz w:val="32"/>
          <w:szCs w:val="32"/>
          <w:lang w:val="en-US" w:eastAsia="zh-CN"/>
        </w:rPr>
      </w:pPr>
    </w:p>
    <w:p>
      <w:pPr>
        <w:snapToGrid w:val="0"/>
        <w:jc w:val="center"/>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lang w:val="en-US" w:eastAsia="zh-CN"/>
        </w:rPr>
        <w:t>文学艺术学院</w:t>
      </w:r>
      <w:r>
        <w:rPr>
          <w:rFonts w:hint="eastAsia" w:ascii="方正小标宋简体" w:hAnsi="方正小标宋简体" w:eastAsia="方正小标宋简体"/>
          <w:color w:val="000000"/>
          <w:sz w:val="44"/>
          <w:szCs w:val="44"/>
        </w:rPr>
        <w:t>共青团“第二课堂成绩单”</w:t>
      </w:r>
    </w:p>
    <w:p>
      <w:pPr>
        <w:snapToGrid w:val="0"/>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制度实施方案</w:t>
      </w:r>
    </w:p>
    <w:p>
      <w:pPr>
        <w:adjustRightInd w:val="0"/>
        <w:snapToGrid w:val="0"/>
        <w:spacing w:line="580" w:lineRule="exact"/>
        <w:ind w:firstLine="640" w:firstLineChars="200"/>
        <w:rPr>
          <w:rFonts w:hint="eastAsia" w:eastAsia="方正仿宋简体"/>
          <w:sz w:val="32"/>
          <w:szCs w:val="32"/>
        </w:rPr>
      </w:pPr>
    </w:p>
    <w:p>
      <w:pPr>
        <w:snapToGrid w:val="0"/>
        <w:spacing w:line="540" w:lineRule="exact"/>
        <w:ind w:firstLine="648" w:firstLineChars="200"/>
        <w:rPr>
          <w:rFonts w:ascii="方正仿宋简体" w:eastAsia="方正仿宋简体"/>
          <w:color w:val="000000"/>
          <w:spacing w:val="2"/>
          <w:sz w:val="32"/>
          <w:szCs w:val="32"/>
        </w:rPr>
      </w:pPr>
      <w:r>
        <w:rPr>
          <w:rFonts w:hint="eastAsia" w:ascii="方正仿宋简体" w:eastAsia="方正仿宋简体"/>
          <w:color w:val="000000"/>
          <w:spacing w:val="2"/>
          <w:sz w:val="32"/>
          <w:szCs w:val="32"/>
        </w:rPr>
        <w:t>为深化学</w:t>
      </w:r>
      <w:r>
        <w:rPr>
          <w:rFonts w:hint="eastAsia" w:ascii="方正仿宋简体" w:eastAsia="方正仿宋简体"/>
          <w:color w:val="000000"/>
          <w:spacing w:val="2"/>
          <w:sz w:val="32"/>
          <w:szCs w:val="32"/>
          <w:lang w:val="en-US" w:eastAsia="zh-CN"/>
        </w:rPr>
        <w:t>院</w:t>
      </w:r>
      <w:r>
        <w:rPr>
          <w:rFonts w:hint="eastAsia" w:ascii="方正仿宋简体" w:eastAsia="方正仿宋简体"/>
          <w:color w:val="000000"/>
          <w:spacing w:val="2"/>
          <w:sz w:val="32"/>
          <w:szCs w:val="32"/>
        </w:rPr>
        <w:t>共青团改革，形成更高水平的人才培养体系，按照共青团中央、教育部印发的《关于在高校实施共青团“第二课堂成绩单”制度的意见》（中青联发〔</w:t>
      </w:r>
      <w:r>
        <w:rPr>
          <w:rFonts w:ascii="方正仿宋简体" w:eastAsia="方正仿宋简体"/>
          <w:color w:val="000000"/>
          <w:spacing w:val="2"/>
          <w:sz w:val="32"/>
          <w:szCs w:val="32"/>
        </w:rPr>
        <w:t>2018</w:t>
      </w:r>
      <w:r>
        <w:rPr>
          <w:rFonts w:hint="eastAsia" w:ascii="方正仿宋简体" w:eastAsia="方正仿宋简体"/>
          <w:color w:val="000000"/>
          <w:spacing w:val="2"/>
          <w:sz w:val="32"/>
          <w:szCs w:val="32"/>
        </w:rPr>
        <w:t>〕</w:t>
      </w:r>
      <w:r>
        <w:rPr>
          <w:rFonts w:ascii="方正仿宋简体" w:eastAsia="方正仿宋简体"/>
          <w:color w:val="000000"/>
          <w:spacing w:val="2"/>
          <w:sz w:val="32"/>
          <w:szCs w:val="32"/>
        </w:rPr>
        <w:t>5</w:t>
      </w:r>
      <w:r>
        <w:rPr>
          <w:rFonts w:hint="eastAsia" w:ascii="方正仿宋简体" w:eastAsia="方正仿宋简体"/>
          <w:color w:val="000000"/>
          <w:spacing w:val="2"/>
          <w:sz w:val="32"/>
          <w:szCs w:val="32"/>
        </w:rPr>
        <w:t>号）、《石河子大学关于修订</w:t>
      </w:r>
      <w:r>
        <w:rPr>
          <w:rFonts w:ascii="方正仿宋简体" w:eastAsia="方正仿宋简体"/>
          <w:color w:val="000000"/>
          <w:spacing w:val="2"/>
          <w:sz w:val="32"/>
          <w:szCs w:val="32"/>
        </w:rPr>
        <w:t>2017</w:t>
      </w:r>
      <w:r>
        <w:rPr>
          <w:rFonts w:hint="eastAsia" w:ascii="方正仿宋简体" w:eastAsia="方正仿宋简体"/>
          <w:color w:val="000000"/>
          <w:spacing w:val="2"/>
          <w:sz w:val="32"/>
          <w:szCs w:val="32"/>
        </w:rPr>
        <w:t>版本科人才培养方案的指导意见》（石大教发〔</w:t>
      </w:r>
      <w:r>
        <w:rPr>
          <w:rFonts w:ascii="方正仿宋简体" w:eastAsia="方正仿宋简体"/>
          <w:color w:val="000000"/>
          <w:spacing w:val="2"/>
          <w:sz w:val="32"/>
          <w:szCs w:val="32"/>
        </w:rPr>
        <w:t>2016</w:t>
      </w:r>
      <w:r>
        <w:rPr>
          <w:rFonts w:hint="eastAsia" w:ascii="方正仿宋简体" w:eastAsia="方正仿宋简体"/>
          <w:color w:val="000000"/>
          <w:spacing w:val="2"/>
          <w:sz w:val="32"/>
          <w:szCs w:val="32"/>
        </w:rPr>
        <w:t>〕</w:t>
      </w:r>
      <w:r>
        <w:rPr>
          <w:rFonts w:ascii="方正仿宋简体" w:eastAsia="方正仿宋简体"/>
          <w:color w:val="000000"/>
          <w:spacing w:val="2"/>
          <w:sz w:val="32"/>
          <w:szCs w:val="32"/>
        </w:rPr>
        <w:t>45</w:t>
      </w:r>
      <w:r>
        <w:rPr>
          <w:rFonts w:hint="eastAsia" w:ascii="方正仿宋简体" w:eastAsia="方正仿宋简体"/>
          <w:color w:val="000000"/>
          <w:spacing w:val="2"/>
          <w:sz w:val="32"/>
          <w:szCs w:val="32"/>
        </w:rPr>
        <w:t>号）等文件要求，结合我</w:t>
      </w:r>
      <w:r>
        <w:rPr>
          <w:rFonts w:hint="eastAsia" w:ascii="方正仿宋简体" w:eastAsia="方正仿宋简体"/>
          <w:color w:val="000000"/>
          <w:spacing w:val="2"/>
          <w:sz w:val="32"/>
          <w:szCs w:val="32"/>
          <w:lang w:val="en-US" w:eastAsia="zh-CN"/>
        </w:rPr>
        <w:t>院</w:t>
      </w:r>
      <w:r>
        <w:rPr>
          <w:rFonts w:hint="eastAsia" w:ascii="方正仿宋简体" w:eastAsia="方正仿宋简体"/>
          <w:color w:val="000000"/>
          <w:spacing w:val="2"/>
          <w:sz w:val="32"/>
          <w:szCs w:val="32"/>
        </w:rPr>
        <w:t>实际，决定从</w:t>
      </w:r>
      <w:r>
        <w:rPr>
          <w:rFonts w:ascii="方正仿宋简体" w:eastAsia="方正仿宋简体"/>
          <w:color w:val="000000"/>
          <w:spacing w:val="2"/>
          <w:sz w:val="32"/>
          <w:szCs w:val="32"/>
        </w:rPr>
        <w:t>2017</w:t>
      </w:r>
      <w:r>
        <w:rPr>
          <w:rFonts w:hint="eastAsia" w:ascii="方正仿宋简体" w:eastAsia="方正仿宋简体"/>
          <w:color w:val="000000"/>
          <w:spacing w:val="2"/>
          <w:sz w:val="32"/>
          <w:szCs w:val="32"/>
        </w:rPr>
        <w:t>级本科学生开始，启动实施共青团“第二课堂成绩单”制度（以下简称“第二课堂成绩单”），方案如下。</w:t>
      </w:r>
    </w:p>
    <w:p>
      <w:pPr>
        <w:snapToGrid w:val="0"/>
        <w:spacing w:line="540" w:lineRule="exact"/>
        <w:ind w:firstLine="648" w:firstLineChars="200"/>
        <w:rPr>
          <w:rFonts w:hint="eastAsia" w:ascii="黑体" w:eastAsia="黑体"/>
          <w:color w:val="000000"/>
          <w:spacing w:val="2"/>
          <w:sz w:val="32"/>
          <w:szCs w:val="32"/>
        </w:rPr>
      </w:pPr>
      <w:r>
        <w:rPr>
          <w:rFonts w:hint="eastAsia" w:ascii="黑体" w:eastAsia="黑体"/>
          <w:color w:val="000000"/>
          <w:spacing w:val="2"/>
          <w:sz w:val="32"/>
          <w:szCs w:val="32"/>
        </w:rPr>
        <w:t>一、重要意义</w:t>
      </w:r>
    </w:p>
    <w:p>
      <w:pPr>
        <w:snapToGrid w:val="0"/>
        <w:spacing w:line="540" w:lineRule="exact"/>
        <w:ind w:firstLine="648" w:firstLineChars="200"/>
        <w:rPr>
          <w:rFonts w:ascii="方正仿宋简体" w:eastAsia="方正仿宋简体"/>
          <w:color w:val="000000"/>
          <w:spacing w:val="2"/>
          <w:sz w:val="32"/>
          <w:szCs w:val="32"/>
        </w:rPr>
      </w:pPr>
      <w:r>
        <w:rPr>
          <w:rFonts w:hint="eastAsia" w:ascii="方正仿宋简体" w:eastAsia="方正仿宋简体"/>
          <w:color w:val="000000"/>
          <w:spacing w:val="2"/>
          <w:sz w:val="32"/>
          <w:szCs w:val="32"/>
        </w:rPr>
        <w:t>“第二课堂成绩单”是充分借鉴第一课堂教学育人机理和工作体系，整体设计第二课堂工作内容、项目供给、评价机制和运行模式，实现第二课堂活动的科学化、系统化、制度化、规范化，实现高校学生参与第二课堂可记录、可评价、</w:t>
      </w:r>
      <w:r>
        <w:rPr>
          <w:rFonts w:ascii="方正仿宋简体" w:eastAsia="方正仿宋简体"/>
          <w:color w:val="000000"/>
          <w:spacing w:val="2"/>
          <w:sz w:val="32"/>
          <w:szCs w:val="32"/>
        </w:rPr>
        <w:t xml:space="preserve"> </w:t>
      </w:r>
      <w:r>
        <w:rPr>
          <w:rFonts w:hint="eastAsia" w:ascii="方正仿宋简体" w:eastAsia="方正仿宋简体"/>
          <w:color w:val="000000"/>
          <w:spacing w:val="2"/>
          <w:sz w:val="32"/>
          <w:szCs w:val="32"/>
        </w:rPr>
        <w:t>可测量、可呈现的一整套工作体系和工作制度。实施“第二课堂成绩单”是落实习近平总书记提出的“要重视和加强第二课堂建设”的重要要求，推动高校思想政治工作改革创新，创新中国特色社会主义教育制度的积极举措；是适应高等教育综合改革，全面落实立德树人根本任务，全面实施素质教育的必然要求；是深化高校共青团改革，强化共青团育人职能，强化共青团组织建设的关键路径；是完善学生发展服务体系，促进学生就业创业全面发展的迫切需要。</w:t>
      </w:r>
    </w:p>
    <w:p>
      <w:pPr>
        <w:snapToGrid w:val="0"/>
        <w:spacing w:line="510" w:lineRule="exact"/>
        <w:ind w:firstLine="648" w:firstLineChars="200"/>
        <w:rPr>
          <w:rFonts w:hint="eastAsia" w:ascii="黑体" w:eastAsia="黑体"/>
          <w:color w:val="000000"/>
          <w:spacing w:val="2"/>
          <w:sz w:val="32"/>
          <w:szCs w:val="32"/>
        </w:rPr>
      </w:pPr>
      <w:r>
        <w:rPr>
          <w:rFonts w:hint="eastAsia" w:ascii="黑体" w:eastAsia="黑体"/>
          <w:color w:val="000000"/>
          <w:spacing w:val="2"/>
          <w:sz w:val="32"/>
          <w:szCs w:val="32"/>
        </w:rPr>
        <w:t>二、实施目标</w:t>
      </w:r>
    </w:p>
    <w:p>
      <w:pPr>
        <w:snapToGrid w:val="0"/>
        <w:spacing w:line="520" w:lineRule="exact"/>
        <w:ind w:firstLine="648" w:firstLineChars="200"/>
        <w:rPr>
          <w:rFonts w:ascii="方正仿宋简体" w:eastAsia="方正仿宋简体"/>
          <w:color w:val="000000"/>
          <w:spacing w:val="2"/>
          <w:sz w:val="32"/>
          <w:szCs w:val="32"/>
        </w:rPr>
      </w:pPr>
      <w:r>
        <w:rPr>
          <w:rFonts w:hint="eastAsia" w:ascii="方正仿宋简体" w:eastAsia="方正仿宋简体"/>
          <w:color w:val="000000"/>
          <w:spacing w:val="2"/>
          <w:sz w:val="32"/>
          <w:szCs w:val="32"/>
        </w:rPr>
        <w:t>“第二课堂成绩单”旨在围绕学校立德树人根本任务，对照人才培养目标和毕业要求，形成一套行之有效的育人工作机制和学生成长综合评价体系。促进“第二课堂成绩单”成为学校人才培养评估、学生综合素质评价和社会单位招录毕业生的重要依据，为提升高等教育质量，深化高校共青团改革，创新人才培养模式发挥重要作用。</w:t>
      </w:r>
    </w:p>
    <w:p>
      <w:pPr>
        <w:snapToGrid w:val="0"/>
        <w:spacing w:line="520" w:lineRule="exact"/>
        <w:ind w:firstLine="648" w:firstLineChars="200"/>
        <w:rPr>
          <w:rFonts w:ascii="黑体" w:eastAsia="黑体"/>
          <w:color w:val="000000"/>
          <w:spacing w:val="2"/>
          <w:sz w:val="32"/>
          <w:szCs w:val="32"/>
        </w:rPr>
      </w:pPr>
      <w:r>
        <w:rPr>
          <w:rFonts w:hint="eastAsia" w:ascii="黑体" w:eastAsia="黑体"/>
          <w:color w:val="000000"/>
          <w:spacing w:val="2"/>
          <w:sz w:val="32"/>
          <w:szCs w:val="32"/>
        </w:rPr>
        <w:t>三、实施原则</w:t>
      </w:r>
    </w:p>
    <w:p>
      <w:pPr>
        <w:snapToGrid w:val="0"/>
        <w:spacing w:line="52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．融入人才培养大局原则。紧紧围绕学校人才培养中心工作，充分发挥第二课堂协同育人作用，使第二课堂成为人才培养体系的有机组成部分。</w:t>
      </w:r>
    </w:p>
    <w:p>
      <w:pPr>
        <w:snapToGrid w:val="0"/>
        <w:spacing w:line="520" w:lineRule="exact"/>
        <w:ind w:firstLine="640" w:firstLineChars="200"/>
        <w:rPr>
          <w:rFonts w:ascii="方正仿宋简体" w:eastAsia="方正仿宋简体"/>
          <w:color w:val="000000"/>
          <w:sz w:val="32"/>
          <w:szCs w:val="32"/>
        </w:rPr>
      </w:pPr>
      <w:r>
        <w:rPr>
          <w:rFonts w:ascii="方正仿宋简体" w:eastAsia="方正仿宋简体"/>
          <w:color w:val="000000"/>
          <w:sz w:val="32"/>
          <w:szCs w:val="32"/>
        </w:rPr>
        <w:t>2</w:t>
      </w:r>
      <w:r>
        <w:rPr>
          <w:rFonts w:hint="eastAsia" w:ascii="方正仿宋简体" w:eastAsia="方正仿宋简体"/>
          <w:color w:val="000000"/>
          <w:sz w:val="32"/>
          <w:szCs w:val="32"/>
        </w:rPr>
        <w:t>．课程化原则。将第二课堂范畴内的各类活动进行分层、分类梳理，构建第二课堂课程化体系，设置课程项目和学分标准。</w:t>
      </w:r>
    </w:p>
    <w:p>
      <w:pPr>
        <w:snapToGrid w:val="0"/>
        <w:spacing w:line="52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3</w:t>
      </w:r>
      <w:r>
        <w:rPr>
          <w:rFonts w:hint="eastAsia" w:ascii="方正仿宋简体" w:eastAsia="方正仿宋简体"/>
          <w:color w:val="000000"/>
          <w:spacing w:val="2"/>
          <w:sz w:val="32"/>
          <w:szCs w:val="32"/>
        </w:rPr>
        <w:t>．尊重学生主体原则。第二课堂课程化建设在活动过程中和学生对教育的选择上，尽可能发挥学生的主体精神，体现学生自主、自由、自觉地接受教育的目的。</w:t>
      </w:r>
    </w:p>
    <w:p>
      <w:pPr>
        <w:snapToGrid w:val="0"/>
        <w:spacing w:line="52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4</w:t>
      </w:r>
      <w:r>
        <w:rPr>
          <w:rFonts w:hint="eastAsia" w:ascii="方正仿宋简体" w:eastAsia="方正仿宋简体"/>
          <w:color w:val="000000"/>
          <w:spacing w:val="2"/>
          <w:sz w:val="32"/>
          <w:szCs w:val="32"/>
        </w:rPr>
        <w:t>．创新性原则。第二课堂课程建设注重理论与方法创新，理论与体制创新，树立全面、协调、可持续发展的第二课堂课程建设发展新观念，构建科学规范的活动内容与灵活的活动方法和手段相统一的课程体系。</w:t>
      </w:r>
    </w:p>
    <w:p>
      <w:pPr>
        <w:snapToGrid w:val="0"/>
        <w:spacing w:line="52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5</w:t>
      </w:r>
      <w:r>
        <w:rPr>
          <w:rFonts w:hint="eastAsia" w:ascii="方正仿宋简体" w:eastAsia="方正仿宋简体"/>
          <w:color w:val="000000"/>
          <w:spacing w:val="2"/>
          <w:sz w:val="32"/>
          <w:szCs w:val="32"/>
        </w:rPr>
        <w:t>．统筹兼顾原则。在第二课堂课程建设中，既要突出特殊，又要兼顾一般，处理好普及类项目和专业类项目、品牌项目和常规项目的关系。要合理布局第一课堂、第二课堂时间，既要保障学生专业知识学习时间，又要满足学生综合素质提升需要。</w:t>
      </w:r>
    </w:p>
    <w:p>
      <w:pPr>
        <w:snapToGrid w:val="0"/>
        <w:spacing w:line="520" w:lineRule="exact"/>
        <w:ind w:firstLine="648" w:firstLineChars="200"/>
        <w:rPr>
          <w:rFonts w:hint="eastAsia" w:ascii="黑体" w:eastAsia="黑体"/>
          <w:color w:val="000000"/>
          <w:spacing w:val="2"/>
          <w:sz w:val="32"/>
          <w:szCs w:val="32"/>
        </w:rPr>
      </w:pPr>
      <w:r>
        <w:rPr>
          <w:rFonts w:hint="eastAsia" w:ascii="黑体" w:eastAsia="黑体"/>
          <w:color w:val="000000"/>
          <w:spacing w:val="2"/>
          <w:sz w:val="32"/>
          <w:szCs w:val="32"/>
        </w:rPr>
        <w:t>四、实施方式</w:t>
      </w:r>
    </w:p>
    <w:p>
      <w:pPr>
        <w:snapToGrid w:val="0"/>
        <w:spacing w:line="51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．将“第二课堂成绩单”写入本科人才培养方案，并设置</w:t>
      </w:r>
      <w:r>
        <w:rPr>
          <w:rFonts w:ascii="方正仿宋简体" w:eastAsia="方正仿宋简体"/>
          <w:color w:val="000000"/>
          <w:spacing w:val="2"/>
          <w:sz w:val="32"/>
          <w:szCs w:val="32"/>
        </w:rPr>
        <w:t>3</w:t>
      </w:r>
      <w:r>
        <w:rPr>
          <w:rFonts w:hint="eastAsia" w:ascii="方正仿宋简体" w:eastAsia="方正仿宋简体"/>
          <w:color w:val="000000"/>
          <w:spacing w:val="2"/>
          <w:sz w:val="32"/>
          <w:szCs w:val="32"/>
        </w:rPr>
        <w:t>个第二课堂选修学分，计入学生成绩总学分，本科学生在校期间须修满</w:t>
      </w:r>
      <w:r>
        <w:rPr>
          <w:rFonts w:ascii="方正仿宋简体" w:eastAsia="方正仿宋简体"/>
          <w:color w:val="000000"/>
          <w:spacing w:val="2"/>
          <w:sz w:val="32"/>
          <w:szCs w:val="32"/>
        </w:rPr>
        <w:t>3</w:t>
      </w:r>
      <w:r>
        <w:rPr>
          <w:rFonts w:hint="eastAsia" w:ascii="方正仿宋简体" w:eastAsia="方正仿宋简体"/>
          <w:color w:val="000000"/>
          <w:spacing w:val="2"/>
          <w:sz w:val="32"/>
          <w:szCs w:val="32"/>
        </w:rPr>
        <w:t>个第二课堂学分。</w:t>
      </w:r>
    </w:p>
    <w:p>
      <w:pPr>
        <w:snapToGrid w:val="0"/>
        <w:spacing w:line="51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2</w:t>
      </w:r>
      <w:r>
        <w:rPr>
          <w:rFonts w:hint="eastAsia" w:ascii="方正仿宋简体" w:eastAsia="方正仿宋简体"/>
          <w:color w:val="000000"/>
          <w:spacing w:val="2"/>
          <w:sz w:val="32"/>
          <w:szCs w:val="32"/>
        </w:rPr>
        <w:t>．第二课堂学分认定由校院两级共同实施，其中由学院认定的学分不少于</w:t>
      </w:r>
      <w:r>
        <w:rPr>
          <w:rFonts w:ascii="方正仿宋简体" w:eastAsia="方正仿宋简体"/>
          <w:color w:val="000000"/>
          <w:spacing w:val="2"/>
          <w:sz w:val="32"/>
          <w:szCs w:val="32"/>
        </w:rPr>
        <w:t>2</w:t>
      </w:r>
      <w:r>
        <w:rPr>
          <w:rFonts w:hint="eastAsia" w:ascii="方正仿宋简体" w:eastAsia="方正仿宋简体"/>
          <w:color w:val="000000"/>
          <w:spacing w:val="2"/>
          <w:sz w:val="32"/>
          <w:szCs w:val="32"/>
        </w:rPr>
        <w:t>个，校团委认定的学分不少于</w:t>
      </w: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个。</w:t>
      </w:r>
    </w:p>
    <w:p>
      <w:pPr>
        <w:snapToGrid w:val="0"/>
        <w:spacing w:line="51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3</w:t>
      </w:r>
      <w:r>
        <w:rPr>
          <w:rFonts w:hint="eastAsia" w:ascii="方正仿宋简体" w:eastAsia="方正仿宋简体"/>
          <w:color w:val="000000"/>
          <w:spacing w:val="2"/>
          <w:sz w:val="32"/>
          <w:szCs w:val="32"/>
        </w:rPr>
        <w:t>．“第二课堂成绩单”作为学生评优、评奖学金的重要参考依据。凡每学年取得第二课堂学分未达到</w:t>
      </w: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学分者，取消各级各类评优资格（已修完全部学分者除外）。在评定奖学金时，学生参与第二课堂记录和学分作为综合测评加分的参考依据。</w:t>
      </w:r>
    </w:p>
    <w:p>
      <w:pPr>
        <w:snapToGrid w:val="0"/>
        <w:spacing w:line="510" w:lineRule="exact"/>
        <w:ind w:firstLine="648" w:firstLineChars="200"/>
        <w:rPr>
          <w:rFonts w:hint="eastAsia" w:ascii="黑体" w:eastAsia="黑体"/>
          <w:color w:val="000000"/>
          <w:spacing w:val="2"/>
          <w:sz w:val="32"/>
          <w:szCs w:val="32"/>
        </w:rPr>
      </w:pPr>
      <w:r>
        <w:rPr>
          <w:rFonts w:hint="eastAsia" w:ascii="黑体" w:eastAsia="黑体"/>
          <w:color w:val="000000"/>
          <w:spacing w:val="2"/>
          <w:sz w:val="32"/>
          <w:szCs w:val="32"/>
        </w:rPr>
        <w:t>五、实施平台</w:t>
      </w:r>
    </w:p>
    <w:p>
      <w:pPr>
        <w:snapToGrid w:val="0"/>
        <w:spacing w:line="510" w:lineRule="exact"/>
        <w:ind w:firstLine="648" w:firstLineChars="200"/>
        <w:rPr>
          <w:rFonts w:ascii="方正仿宋简体" w:eastAsia="方正仿宋简体"/>
          <w:color w:val="000000"/>
          <w:spacing w:val="2"/>
          <w:sz w:val="32"/>
          <w:szCs w:val="32"/>
        </w:rPr>
      </w:pPr>
      <w:r>
        <w:rPr>
          <w:rFonts w:hint="eastAsia" w:ascii="方正仿宋简体" w:eastAsia="方正仿宋简体"/>
          <w:color w:val="000000"/>
          <w:spacing w:val="2"/>
          <w:sz w:val="32"/>
          <w:szCs w:val="32"/>
        </w:rPr>
        <w:t>以团中央学校共青团研究中心开发的高校共青团“第二课堂成绩单”操作平台为依托，在既有类别中结合学校实际增添课程，设置学分。通过课程发布、学生申报、完成课程、开课单位或开课教师认定后，学生可获得相应学分。实现活动参与、学时认证、考核记录、校内通知、成绩单打印等个性化模块，实时记录学生参与第二课堂课程的经历和效果，为打造“第二课堂成绩单”提供详实可靠的数据。</w:t>
      </w:r>
    </w:p>
    <w:p>
      <w:pPr>
        <w:snapToGrid w:val="0"/>
        <w:spacing w:line="510" w:lineRule="exact"/>
        <w:ind w:firstLine="648" w:firstLineChars="200"/>
        <w:rPr>
          <w:rFonts w:hint="eastAsia" w:ascii="黑体" w:eastAsia="黑体"/>
          <w:color w:val="000000"/>
          <w:spacing w:val="2"/>
          <w:sz w:val="32"/>
          <w:szCs w:val="32"/>
        </w:rPr>
      </w:pPr>
      <w:r>
        <w:rPr>
          <w:rFonts w:hint="eastAsia" w:ascii="黑体" w:eastAsia="黑体"/>
          <w:color w:val="000000"/>
          <w:spacing w:val="2"/>
          <w:sz w:val="32"/>
          <w:szCs w:val="32"/>
        </w:rPr>
        <w:t>六、课程体系</w:t>
      </w:r>
    </w:p>
    <w:p>
      <w:pPr>
        <w:snapToGrid w:val="0"/>
        <w:spacing w:line="510" w:lineRule="exact"/>
        <w:ind w:firstLine="648" w:firstLineChars="200"/>
        <w:rPr>
          <w:rFonts w:ascii="方正仿宋简体" w:eastAsia="方正仿宋简体"/>
          <w:color w:val="000000"/>
          <w:spacing w:val="2"/>
          <w:sz w:val="32"/>
          <w:szCs w:val="32"/>
        </w:rPr>
      </w:pPr>
      <w:r>
        <w:rPr>
          <w:rFonts w:hint="eastAsia" w:ascii="方正仿宋简体" w:eastAsia="方正仿宋简体"/>
          <w:color w:val="000000"/>
          <w:spacing w:val="2"/>
          <w:sz w:val="32"/>
          <w:szCs w:val="32"/>
        </w:rPr>
        <w:t>根据</w:t>
      </w:r>
      <w:r>
        <w:rPr>
          <w:rFonts w:hint="eastAsia" w:ascii="方正仿宋简体" w:eastAsia="方正仿宋简体"/>
          <w:color w:val="000000"/>
          <w:spacing w:val="2"/>
          <w:sz w:val="32"/>
          <w:szCs w:val="32"/>
          <w:lang w:val="en-US" w:eastAsia="zh-CN"/>
        </w:rPr>
        <w:t>我院</w:t>
      </w:r>
      <w:r>
        <w:rPr>
          <w:rFonts w:hint="eastAsia" w:ascii="方正仿宋简体" w:eastAsia="方正仿宋简体"/>
          <w:color w:val="000000"/>
          <w:spacing w:val="2"/>
          <w:sz w:val="32"/>
          <w:szCs w:val="32"/>
        </w:rPr>
        <w:t>实际情况，第二课堂课程内容共分为</w:t>
      </w:r>
      <w:r>
        <w:rPr>
          <w:rFonts w:ascii="方正仿宋简体" w:eastAsia="方正仿宋简体"/>
          <w:color w:val="000000"/>
          <w:spacing w:val="2"/>
          <w:sz w:val="32"/>
          <w:szCs w:val="32"/>
        </w:rPr>
        <w:t>6</w:t>
      </w:r>
      <w:r>
        <w:rPr>
          <w:rFonts w:hint="eastAsia" w:ascii="方正仿宋简体" w:eastAsia="方正仿宋简体"/>
          <w:color w:val="000000"/>
          <w:spacing w:val="2"/>
          <w:sz w:val="32"/>
          <w:szCs w:val="32"/>
        </w:rPr>
        <w:t>个模块：思想成长、工作履历、实践实习、志愿公益、文体活动、技能特长。</w:t>
      </w:r>
    </w:p>
    <w:p>
      <w:pPr>
        <w:snapToGrid w:val="0"/>
        <w:spacing w:line="51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．思想成长模块主要记载学生参与各类讲座（不含学术讲座，学术讲座纳入创新创业实践学分），主题教育等思想引领类活动，党校、团校培训经历等，以及获得的相关荣誉。</w:t>
      </w:r>
    </w:p>
    <w:p>
      <w:pPr>
        <w:snapToGrid w:val="0"/>
        <w:spacing w:line="51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2</w:t>
      </w:r>
      <w:r>
        <w:rPr>
          <w:rFonts w:hint="eastAsia" w:ascii="方正仿宋简体" w:eastAsia="方正仿宋简体"/>
          <w:color w:val="000000"/>
          <w:spacing w:val="2"/>
          <w:sz w:val="32"/>
          <w:szCs w:val="32"/>
        </w:rPr>
        <w:t>．工作履历模块主要记载学生参与学生社团、学生会、学生社团管理部（学生社团发展中心）等学生组织的经历（含社团成员、干事），或者担任班委、团支委、学生助理等，以及获得的相关荣誉。</w:t>
      </w:r>
    </w:p>
    <w:p>
      <w:pPr>
        <w:snapToGrid w:val="0"/>
        <w:spacing w:line="51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3</w:t>
      </w:r>
      <w:r>
        <w:rPr>
          <w:rFonts w:hint="eastAsia" w:ascii="方正仿宋简体" w:eastAsia="方正仿宋简体"/>
          <w:color w:val="000000"/>
          <w:spacing w:val="2"/>
          <w:sz w:val="32"/>
          <w:szCs w:val="32"/>
        </w:rPr>
        <w:t>．实践实习模块主要记载学生参与暑期“三下乡”、寒假社会实践立项项目和第一课堂必修要求之外的其他实践活动等，以及获得的相关荣誉。</w:t>
      </w:r>
    </w:p>
    <w:p>
      <w:pPr>
        <w:snapToGrid w:val="0"/>
        <w:spacing w:line="51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4</w:t>
      </w:r>
      <w:r>
        <w:rPr>
          <w:rFonts w:hint="eastAsia" w:ascii="方正仿宋简体" w:eastAsia="方正仿宋简体"/>
          <w:color w:val="000000"/>
          <w:spacing w:val="2"/>
          <w:sz w:val="32"/>
          <w:szCs w:val="32"/>
        </w:rPr>
        <w:t>．志愿公益模块主要记载学生参与“大学生志愿服务西部计划”、研究生支教团，学校组织的日常志愿服务、各级各类大型活动和劳动实践活动、赛事志愿服务、志愿服务项目大赛等，以及获得的相关荣誉。</w:t>
      </w:r>
    </w:p>
    <w:p>
      <w:pPr>
        <w:snapToGrid w:val="0"/>
        <w:spacing w:line="51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5</w:t>
      </w:r>
      <w:r>
        <w:rPr>
          <w:rFonts w:hint="eastAsia" w:ascii="方正仿宋简体" w:eastAsia="方正仿宋简体"/>
          <w:color w:val="000000"/>
          <w:spacing w:val="2"/>
          <w:sz w:val="32"/>
          <w:szCs w:val="32"/>
        </w:rPr>
        <w:t>．文体活动模块主要记载学生参与各级各类文艺体育活动、劳动、训练和竞赛经历等，以及获得的相关荣誉。</w:t>
      </w:r>
    </w:p>
    <w:p>
      <w:pPr>
        <w:snapToGrid w:val="0"/>
        <w:spacing w:line="51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6</w:t>
      </w:r>
      <w:r>
        <w:rPr>
          <w:rFonts w:hint="eastAsia" w:ascii="方正仿宋简体" w:eastAsia="方正仿宋简体"/>
          <w:color w:val="000000"/>
          <w:spacing w:val="2"/>
          <w:sz w:val="32"/>
          <w:szCs w:val="32"/>
        </w:rPr>
        <w:t>．技能特长模块主要记载学生参加各类技能培训的经历，获得专利及公开发表的论文等，英语、汉语（</w:t>
      </w:r>
      <w:r>
        <w:rPr>
          <w:rFonts w:ascii="方正仿宋简体" w:eastAsia="方正仿宋简体"/>
          <w:color w:val="000000"/>
          <w:spacing w:val="2"/>
          <w:sz w:val="32"/>
          <w:szCs w:val="32"/>
        </w:rPr>
        <w:t>HSK</w:t>
      </w:r>
      <w:r>
        <w:rPr>
          <w:rFonts w:hint="eastAsia" w:ascii="方正仿宋简体" w:eastAsia="方正仿宋简体"/>
          <w:color w:val="000000"/>
          <w:spacing w:val="2"/>
          <w:sz w:val="32"/>
          <w:szCs w:val="32"/>
        </w:rPr>
        <w:t>）、计算机等级考试或未能被上述内容包括的其它重要经历或成果，以及获得的相关荣誉。</w:t>
      </w:r>
    </w:p>
    <w:p>
      <w:pPr>
        <w:snapToGrid w:val="0"/>
        <w:spacing w:line="510" w:lineRule="exact"/>
        <w:ind w:firstLine="648" w:firstLineChars="200"/>
        <w:rPr>
          <w:rFonts w:hint="eastAsia" w:ascii="黑体" w:eastAsia="黑体"/>
          <w:color w:val="000000"/>
          <w:spacing w:val="2"/>
          <w:sz w:val="32"/>
          <w:szCs w:val="32"/>
        </w:rPr>
      </w:pPr>
      <w:r>
        <w:rPr>
          <w:rFonts w:hint="eastAsia" w:ascii="黑体" w:eastAsia="黑体"/>
          <w:color w:val="000000"/>
          <w:spacing w:val="2"/>
          <w:sz w:val="32"/>
          <w:szCs w:val="32"/>
        </w:rPr>
        <w:t>七、学分设置及标准</w:t>
      </w:r>
    </w:p>
    <w:p>
      <w:pPr>
        <w:snapToGrid w:val="0"/>
        <w:spacing w:line="51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．学分设置</w:t>
      </w:r>
    </w:p>
    <w:p>
      <w:pPr>
        <w:snapToGrid w:val="0"/>
        <w:spacing w:line="510" w:lineRule="exact"/>
        <w:ind w:firstLine="648" w:firstLineChars="200"/>
        <w:rPr>
          <w:rFonts w:ascii="方正仿宋简体" w:eastAsia="方正仿宋简体"/>
          <w:color w:val="000000"/>
          <w:spacing w:val="2"/>
          <w:sz w:val="32"/>
          <w:szCs w:val="32"/>
        </w:rPr>
      </w:pPr>
      <w:r>
        <w:rPr>
          <w:rFonts w:hint="eastAsia" w:ascii="方正仿宋简体" w:eastAsia="方正仿宋简体"/>
          <w:color w:val="000000"/>
          <w:spacing w:val="2"/>
          <w:sz w:val="32"/>
          <w:szCs w:val="32"/>
        </w:rPr>
        <w:t>本科学生在校期间须修满</w:t>
      </w:r>
      <w:r>
        <w:rPr>
          <w:rFonts w:ascii="方正仿宋简体" w:eastAsia="方正仿宋简体"/>
          <w:color w:val="000000"/>
          <w:spacing w:val="2"/>
          <w:sz w:val="32"/>
          <w:szCs w:val="32"/>
        </w:rPr>
        <w:t>3</w:t>
      </w:r>
      <w:r>
        <w:rPr>
          <w:rFonts w:hint="eastAsia" w:ascii="方正仿宋简体" w:eastAsia="方正仿宋简体"/>
          <w:color w:val="000000"/>
          <w:spacing w:val="2"/>
          <w:sz w:val="32"/>
          <w:szCs w:val="32"/>
        </w:rPr>
        <w:t>个第二课堂学分，可根据自身需求选修不同类型课程，但要选修</w:t>
      </w:r>
      <w:r>
        <w:rPr>
          <w:rFonts w:ascii="方正仿宋简体" w:eastAsia="方正仿宋简体"/>
          <w:color w:val="000000"/>
          <w:spacing w:val="2"/>
          <w:sz w:val="32"/>
          <w:szCs w:val="32"/>
        </w:rPr>
        <w:t>3</w:t>
      </w:r>
      <w:r>
        <w:rPr>
          <w:rFonts w:hint="eastAsia" w:ascii="方正仿宋简体" w:eastAsia="方正仿宋简体"/>
          <w:color w:val="000000"/>
          <w:spacing w:val="2"/>
          <w:sz w:val="32"/>
          <w:szCs w:val="32"/>
        </w:rPr>
        <w:t>门以上（含</w:t>
      </w:r>
      <w:r>
        <w:rPr>
          <w:rFonts w:ascii="方正仿宋简体" w:eastAsia="方正仿宋简体"/>
          <w:color w:val="000000"/>
          <w:spacing w:val="2"/>
          <w:sz w:val="32"/>
          <w:szCs w:val="32"/>
        </w:rPr>
        <w:t>3</w:t>
      </w:r>
      <w:r>
        <w:rPr>
          <w:rFonts w:hint="eastAsia" w:ascii="方正仿宋简体" w:eastAsia="方正仿宋简体"/>
          <w:color w:val="000000"/>
          <w:spacing w:val="2"/>
          <w:sz w:val="32"/>
          <w:szCs w:val="32"/>
        </w:rPr>
        <w:t>门）不同类型的课程。</w:t>
      </w:r>
    </w:p>
    <w:p>
      <w:pPr>
        <w:snapToGrid w:val="0"/>
        <w:spacing w:line="51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2</w:t>
      </w:r>
      <w:r>
        <w:rPr>
          <w:rFonts w:hint="eastAsia" w:ascii="方正仿宋简体" w:eastAsia="方正仿宋简体"/>
          <w:color w:val="000000"/>
          <w:spacing w:val="2"/>
          <w:sz w:val="32"/>
          <w:szCs w:val="32"/>
        </w:rPr>
        <w:t>．学分标准</w:t>
      </w:r>
    </w:p>
    <w:p>
      <w:pPr>
        <w:snapToGrid w:val="0"/>
        <w:spacing w:line="510" w:lineRule="exact"/>
        <w:ind w:firstLine="648" w:firstLineChars="200"/>
        <w:rPr>
          <w:rFonts w:ascii="方正仿宋简体" w:eastAsia="方正仿宋简体"/>
          <w:color w:val="000000"/>
          <w:spacing w:val="2"/>
          <w:sz w:val="32"/>
          <w:szCs w:val="32"/>
        </w:rPr>
      </w:pPr>
      <w:r>
        <w:rPr>
          <w:rFonts w:hint="eastAsia" w:ascii="方正仿宋简体" w:eastAsia="方正仿宋简体"/>
          <w:color w:val="000000"/>
          <w:spacing w:val="2"/>
          <w:sz w:val="32"/>
          <w:szCs w:val="32"/>
        </w:rPr>
        <w:t>基础学分：鉴于第二课堂活动具有活动内容广泛、形式灵活多样、活动时空开放等独有特性，无法完全按照第一课堂标准学时计算学分。因此，第二课堂课程学分以基础学分为计算标准，基础学分设置为</w:t>
      </w: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学分，每门课程上限为</w:t>
      </w:r>
      <w:r>
        <w:rPr>
          <w:rFonts w:ascii="方正仿宋简体" w:eastAsia="方正仿宋简体"/>
          <w:color w:val="000000"/>
          <w:spacing w:val="2"/>
          <w:sz w:val="32"/>
          <w:szCs w:val="32"/>
        </w:rPr>
        <w:t>2</w:t>
      </w:r>
      <w:r>
        <w:rPr>
          <w:rFonts w:hint="eastAsia" w:ascii="方正仿宋简体" w:eastAsia="方正仿宋简体"/>
          <w:color w:val="000000"/>
          <w:spacing w:val="2"/>
          <w:sz w:val="32"/>
          <w:szCs w:val="32"/>
        </w:rPr>
        <w:t>学分。</w:t>
      </w:r>
    </w:p>
    <w:p>
      <w:pPr>
        <w:snapToGrid w:val="0"/>
        <w:spacing w:line="510" w:lineRule="exact"/>
        <w:ind w:firstLine="648" w:firstLineChars="200"/>
        <w:rPr>
          <w:rFonts w:ascii="方正仿宋简体" w:eastAsia="方正仿宋简体"/>
          <w:color w:val="000000"/>
          <w:spacing w:val="2"/>
          <w:sz w:val="32"/>
          <w:szCs w:val="32"/>
        </w:rPr>
      </w:pPr>
      <w:r>
        <w:rPr>
          <w:rFonts w:hint="eastAsia" w:ascii="方正仿宋简体" w:eastAsia="方正仿宋简体"/>
          <w:color w:val="000000"/>
          <w:spacing w:val="2"/>
          <w:sz w:val="32"/>
          <w:szCs w:val="32"/>
        </w:rPr>
        <w:t>学分计算：以基础学分为标准，根据第二课堂课程的层级、规模、周期等实际情况设置课程学分。思想成长课程中的人文知识讲座，思想引领类活动等，累积参与完成</w:t>
      </w:r>
      <w:r>
        <w:rPr>
          <w:rFonts w:ascii="方正仿宋简体" w:eastAsia="方正仿宋简体"/>
          <w:color w:val="000000"/>
          <w:spacing w:val="2"/>
          <w:sz w:val="32"/>
          <w:szCs w:val="32"/>
        </w:rPr>
        <w:t>5</w:t>
      </w:r>
      <w:r>
        <w:rPr>
          <w:rFonts w:hint="eastAsia" w:ascii="方正仿宋简体" w:eastAsia="方正仿宋简体"/>
          <w:color w:val="000000"/>
          <w:spacing w:val="2"/>
          <w:sz w:val="32"/>
          <w:szCs w:val="32"/>
        </w:rPr>
        <w:t>次可获得</w:t>
      </w: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学分；党课、团课等理论课程每</w:t>
      </w:r>
      <w:r>
        <w:rPr>
          <w:rFonts w:ascii="方正仿宋简体" w:eastAsia="方正仿宋简体"/>
          <w:color w:val="000000"/>
          <w:spacing w:val="2"/>
          <w:sz w:val="32"/>
          <w:szCs w:val="32"/>
        </w:rPr>
        <w:t>16</w:t>
      </w:r>
      <w:r>
        <w:rPr>
          <w:rFonts w:hint="eastAsia" w:ascii="方正仿宋简体" w:eastAsia="方正仿宋简体"/>
          <w:color w:val="000000"/>
          <w:spacing w:val="2"/>
          <w:sz w:val="32"/>
          <w:szCs w:val="32"/>
        </w:rPr>
        <w:t>学时计</w:t>
      </w: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学分；实践实习、文化活动、志愿公益等课程，校、院级计</w:t>
      </w: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学分，自治区（兵团）级计</w:t>
      </w:r>
      <w:r>
        <w:rPr>
          <w:rFonts w:ascii="方正仿宋简体" w:eastAsia="方正仿宋简体"/>
          <w:color w:val="000000"/>
          <w:spacing w:val="2"/>
          <w:sz w:val="32"/>
          <w:szCs w:val="32"/>
        </w:rPr>
        <w:t>1.5</w:t>
      </w:r>
      <w:r>
        <w:rPr>
          <w:rFonts w:hint="eastAsia" w:ascii="方正仿宋简体" w:eastAsia="方正仿宋简体"/>
          <w:color w:val="000000"/>
          <w:spacing w:val="2"/>
          <w:sz w:val="32"/>
          <w:szCs w:val="32"/>
        </w:rPr>
        <w:t>学分、国家级计</w:t>
      </w:r>
      <w:r>
        <w:rPr>
          <w:rFonts w:ascii="方正仿宋简体" w:eastAsia="方正仿宋简体"/>
          <w:color w:val="000000"/>
          <w:spacing w:val="2"/>
          <w:sz w:val="32"/>
          <w:szCs w:val="32"/>
        </w:rPr>
        <w:t>2</w:t>
      </w:r>
      <w:r>
        <w:rPr>
          <w:rFonts w:hint="eastAsia" w:ascii="方正仿宋简体" w:eastAsia="方正仿宋简体"/>
          <w:color w:val="000000"/>
          <w:spacing w:val="2"/>
          <w:sz w:val="32"/>
          <w:szCs w:val="32"/>
        </w:rPr>
        <w:t>学分；参与学生会、学生社团、班团组织、学生助理等团学组织工作者，凡工作时间达到</w:t>
      </w: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年、经考核合格者计</w:t>
      </w: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学分；对各级各类奖励和荣誉获得者设置奖励和荣誉学分，校、院级计</w:t>
      </w: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学分，自治区（兵团）级计</w:t>
      </w:r>
      <w:r>
        <w:rPr>
          <w:rFonts w:ascii="方正仿宋简体" w:eastAsia="方正仿宋简体"/>
          <w:color w:val="000000"/>
          <w:spacing w:val="2"/>
          <w:sz w:val="32"/>
          <w:szCs w:val="32"/>
        </w:rPr>
        <w:t>1.5</w:t>
      </w:r>
      <w:r>
        <w:rPr>
          <w:rFonts w:hint="eastAsia" w:ascii="方正仿宋简体" w:eastAsia="方正仿宋简体"/>
          <w:color w:val="000000"/>
          <w:spacing w:val="2"/>
          <w:sz w:val="32"/>
          <w:szCs w:val="32"/>
        </w:rPr>
        <w:t>学分、国家级计</w:t>
      </w:r>
      <w:r>
        <w:rPr>
          <w:rFonts w:ascii="方正仿宋简体" w:eastAsia="方正仿宋简体"/>
          <w:color w:val="000000"/>
          <w:spacing w:val="2"/>
          <w:sz w:val="32"/>
          <w:szCs w:val="32"/>
        </w:rPr>
        <w:t>2</w:t>
      </w:r>
      <w:r>
        <w:rPr>
          <w:rFonts w:hint="eastAsia" w:ascii="方正仿宋简体" w:eastAsia="方正仿宋简体"/>
          <w:color w:val="000000"/>
          <w:spacing w:val="2"/>
          <w:sz w:val="32"/>
          <w:szCs w:val="32"/>
        </w:rPr>
        <w:t>学分。取得各级各类技能证书者计</w:t>
      </w: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学分。</w:t>
      </w:r>
    </w:p>
    <w:p>
      <w:pPr>
        <w:snapToGrid w:val="0"/>
        <w:spacing w:line="510" w:lineRule="exact"/>
        <w:ind w:firstLine="648" w:firstLineChars="200"/>
        <w:rPr>
          <w:rFonts w:hint="eastAsia" w:ascii="黑体" w:eastAsia="黑体"/>
          <w:color w:val="000000"/>
          <w:spacing w:val="2"/>
          <w:sz w:val="32"/>
          <w:szCs w:val="32"/>
        </w:rPr>
      </w:pPr>
      <w:r>
        <w:rPr>
          <w:rFonts w:hint="eastAsia" w:ascii="黑体" w:eastAsia="黑体"/>
          <w:color w:val="000000"/>
          <w:spacing w:val="2"/>
          <w:sz w:val="32"/>
          <w:szCs w:val="32"/>
        </w:rPr>
        <w:t>八、开课程序及课程要求</w:t>
      </w:r>
    </w:p>
    <w:p>
      <w:pPr>
        <w:snapToGrid w:val="0"/>
        <w:spacing w:line="51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．每年</w:t>
      </w:r>
      <w:r>
        <w:rPr>
          <w:rFonts w:ascii="方正仿宋简体" w:eastAsia="方正仿宋简体"/>
          <w:color w:val="000000"/>
          <w:spacing w:val="2"/>
          <w:sz w:val="32"/>
          <w:szCs w:val="32"/>
        </w:rPr>
        <w:t>6</w:t>
      </w:r>
      <w:r>
        <w:rPr>
          <w:rFonts w:hint="eastAsia" w:ascii="方正仿宋简体" w:eastAsia="方正仿宋简体"/>
          <w:color w:val="000000"/>
          <w:spacing w:val="2"/>
          <w:sz w:val="32"/>
          <w:szCs w:val="32"/>
        </w:rPr>
        <w:t>月、</w:t>
      </w:r>
      <w:r>
        <w:rPr>
          <w:rFonts w:ascii="方正仿宋简体" w:eastAsia="方正仿宋简体"/>
          <w:color w:val="000000"/>
          <w:spacing w:val="2"/>
          <w:sz w:val="32"/>
          <w:szCs w:val="32"/>
        </w:rPr>
        <w:t>12</w:t>
      </w:r>
      <w:r>
        <w:rPr>
          <w:rFonts w:hint="eastAsia" w:ascii="方正仿宋简体" w:eastAsia="方正仿宋简体"/>
          <w:color w:val="000000"/>
          <w:spacing w:val="2"/>
          <w:sz w:val="32"/>
          <w:szCs w:val="32"/>
        </w:rPr>
        <w:t>月由课程负责部门或负责教师提交开课申请，经</w:t>
      </w:r>
      <w:r>
        <w:rPr>
          <w:rFonts w:hint="eastAsia" w:ascii="方正仿宋简体" w:eastAsia="方正仿宋简体"/>
          <w:color w:val="000000"/>
          <w:spacing w:val="2"/>
          <w:sz w:val="32"/>
          <w:szCs w:val="32"/>
          <w:lang w:val="en-US" w:eastAsia="zh-CN"/>
        </w:rPr>
        <w:t>院</w:t>
      </w:r>
      <w:r>
        <w:rPr>
          <w:rFonts w:hint="eastAsia" w:ascii="方正仿宋简体" w:eastAsia="方正仿宋简体"/>
          <w:color w:val="000000"/>
          <w:spacing w:val="2"/>
          <w:sz w:val="32"/>
          <w:szCs w:val="32"/>
        </w:rPr>
        <w:t>团委牵头组织专家审核通过后发布。对于临时开课课程，须提前一周提交开课申请，经</w:t>
      </w:r>
      <w:r>
        <w:rPr>
          <w:rFonts w:hint="eastAsia" w:ascii="方正仿宋简体" w:eastAsia="方正仿宋简体"/>
          <w:color w:val="000000"/>
          <w:spacing w:val="2"/>
          <w:sz w:val="32"/>
          <w:szCs w:val="32"/>
          <w:lang w:val="en-US" w:eastAsia="zh-CN"/>
        </w:rPr>
        <w:t>院</w:t>
      </w:r>
      <w:r>
        <w:rPr>
          <w:rFonts w:hint="eastAsia" w:ascii="方正仿宋简体" w:eastAsia="方正仿宋简体"/>
          <w:color w:val="000000"/>
          <w:spacing w:val="2"/>
          <w:sz w:val="32"/>
          <w:szCs w:val="32"/>
        </w:rPr>
        <w:t>团委审核后发布。</w:t>
      </w:r>
    </w:p>
    <w:p>
      <w:pPr>
        <w:snapToGrid w:val="0"/>
        <w:spacing w:line="51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2</w:t>
      </w:r>
      <w:r>
        <w:rPr>
          <w:rFonts w:hint="eastAsia" w:ascii="方正仿宋简体" w:eastAsia="方正仿宋简体"/>
          <w:color w:val="000000"/>
          <w:spacing w:val="2"/>
          <w:sz w:val="32"/>
          <w:szCs w:val="32"/>
        </w:rPr>
        <w:t>．申请开课的部门、学院或教师须填写《第二课堂课程开课申请表》，开课申请应包括课程名称、开课单位、课程主要内容、课程学分、开课时间、授课对象及人数、结课考核和学分认定方式等内容。</w:t>
      </w:r>
    </w:p>
    <w:p>
      <w:pPr>
        <w:snapToGrid w:val="0"/>
        <w:spacing w:line="52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3</w:t>
      </w:r>
      <w:r>
        <w:rPr>
          <w:rFonts w:hint="eastAsia" w:ascii="方正仿宋简体" w:eastAsia="方正仿宋简体"/>
          <w:color w:val="000000"/>
          <w:spacing w:val="2"/>
          <w:sz w:val="32"/>
          <w:szCs w:val="32"/>
        </w:rPr>
        <w:t>．考核形式与学分认定由开课部门、学院或授课教师根据课程教学大纲执行，学生需按照教学要求通过考核后，可获得相应课程学分。</w:t>
      </w:r>
    </w:p>
    <w:p>
      <w:pPr>
        <w:snapToGrid w:val="0"/>
        <w:spacing w:line="510" w:lineRule="exact"/>
        <w:ind w:firstLine="648" w:firstLineChars="200"/>
        <w:rPr>
          <w:rFonts w:hint="eastAsia" w:ascii="黑体" w:eastAsia="黑体"/>
          <w:color w:val="000000"/>
          <w:spacing w:val="2"/>
          <w:sz w:val="32"/>
          <w:szCs w:val="32"/>
        </w:rPr>
      </w:pPr>
      <w:r>
        <w:rPr>
          <w:rFonts w:hint="eastAsia" w:ascii="黑体" w:eastAsia="黑体"/>
          <w:color w:val="000000"/>
          <w:spacing w:val="2"/>
          <w:sz w:val="32"/>
          <w:szCs w:val="32"/>
        </w:rPr>
        <w:t>九、学分认定方式</w:t>
      </w:r>
    </w:p>
    <w:p>
      <w:pPr>
        <w:snapToGrid w:val="0"/>
        <w:spacing w:line="510" w:lineRule="exact"/>
        <w:ind w:firstLine="648" w:firstLineChars="200"/>
        <w:rPr>
          <w:rFonts w:ascii="方正仿宋简体" w:eastAsia="方正仿宋简体"/>
          <w:color w:val="000000"/>
          <w:spacing w:val="2"/>
          <w:sz w:val="32"/>
          <w:szCs w:val="32"/>
        </w:rPr>
      </w:pPr>
      <w:r>
        <w:rPr>
          <w:rFonts w:hint="eastAsia" w:ascii="方正仿宋简体" w:eastAsia="方正仿宋简体"/>
          <w:color w:val="000000"/>
          <w:spacing w:val="2"/>
          <w:sz w:val="32"/>
          <w:szCs w:val="32"/>
        </w:rPr>
        <w:t>学分认定方式分为统一认定和自主申报认定两种方式。</w:t>
      </w:r>
    </w:p>
    <w:p>
      <w:pPr>
        <w:snapToGrid w:val="0"/>
        <w:spacing w:line="510" w:lineRule="exact"/>
        <w:ind w:firstLine="648" w:firstLineChars="200"/>
        <w:rPr>
          <w:rFonts w:ascii="方正仿宋简体" w:eastAsia="方正仿宋简体"/>
          <w:color w:val="000000"/>
          <w:spacing w:val="2"/>
          <w:sz w:val="32"/>
          <w:szCs w:val="32"/>
        </w:rPr>
      </w:pPr>
      <w:r>
        <w:rPr>
          <w:rFonts w:hint="eastAsia" w:ascii="方正仿宋简体" w:eastAsia="方正仿宋简体"/>
          <w:color w:val="000000"/>
          <w:spacing w:val="2"/>
          <w:sz w:val="32"/>
          <w:szCs w:val="32"/>
        </w:rPr>
        <w:t>统一认定：根据第二课堂课程的类别、形式等方面的不同，由开课部门、学院或教师通过签到、提交学习心得、提交结课论文、出具获奖证书、综合考核评价等多种方式进行认定，认定学分要符合课程实际和学分设置标准，每门课程均须明确具体的认定方式。凡由学校有关部门、学院举办的各类比赛或组织参与的省级、国家级比赛等，由相关单位对获奖学生进行学分认定。</w:t>
      </w:r>
    </w:p>
    <w:p>
      <w:pPr>
        <w:snapToGrid w:val="0"/>
        <w:spacing w:line="510" w:lineRule="exact"/>
        <w:ind w:firstLine="648" w:firstLineChars="200"/>
        <w:rPr>
          <w:rFonts w:ascii="方正仿宋简体" w:eastAsia="方正仿宋简体"/>
          <w:color w:val="000000"/>
          <w:spacing w:val="2"/>
          <w:sz w:val="32"/>
          <w:szCs w:val="32"/>
        </w:rPr>
      </w:pPr>
      <w:r>
        <w:rPr>
          <w:rFonts w:hint="eastAsia" w:ascii="方正仿宋简体" w:eastAsia="方正仿宋简体"/>
          <w:color w:val="000000"/>
          <w:spacing w:val="2"/>
          <w:sz w:val="32"/>
          <w:szCs w:val="32"/>
        </w:rPr>
        <w:t>自主申报认定：凡自主参与各级各类技能考试取得技能证书或自主参与各级各类学校认可的正式比赛获得荣誉者，可凭证书向学院团委提出学分认定申请。学院团委可根据工作实际，每年在固定时间对自主申报学分认定的学生进行认定。</w:t>
      </w:r>
    </w:p>
    <w:p>
      <w:pPr>
        <w:snapToGrid w:val="0"/>
        <w:spacing w:line="510" w:lineRule="exact"/>
        <w:ind w:firstLine="648" w:firstLineChars="200"/>
        <w:rPr>
          <w:rFonts w:hint="eastAsia" w:ascii="黑体" w:eastAsia="黑体"/>
          <w:color w:val="000000"/>
          <w:spacing w:val="2"/>
          <w:sz w:val="32"/>
          <w:szCs w:val="32"/>
        </w:rPr>
      </w:pPr>
      <w:r>
        <w:rPr>
          <w:rFonts w:hint="eastAsia" w:ascii="黑体" w:eastAsia="黑体"/>
          <w:color w:val="000000"/>
          <w:spacing w:val="2"/>
          <w:sz w:val="32"/>
          <w:szCs w:val="32"/>
        </w:rPr>
        <w:t>十、实施保障</w:t>
      </w:r>
    </w:p>
    <w:p>
      <w:pPr>
        <w:snapToGrid w:val="0"/>
        <w:spacing w:line="51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．成立领导小组</w:t>
      </w:r>
    </w:p>
    <w:p>
      <w:pPr>
        <w:snapToGrid w:val="0"/>
        <w:spacing w:line="510" w:lineRule="exact"/>
        <w:ind w:firstLine="648" w:firstLineChars="200"/>
        <w:rPr>
          <w:rFonts w:hint="eastAsia" w:ascii="方正仿宋简体" w:eastAsia="方正仿宋简体"/>
          <w:color w:val="000000"/>
          <w:spacing w:val="2"/>
          <w:sz w:val="32"/>
          <w:szCs w:val="32"/>
        </w:rPr>
      </w:pPr>
      <w:r>
        <w:rPr>
          <w:rFonts w:hint="eastAsia" w:ascii="方正仿宋简体" w:eastAsia="方正仿宋简体"/>
          <w:color w:val="000000"/>
          <w:spacing w:val="2"/>
          <w:sz w:val="32"/>
          <w:szCs w:val="32"/>
        </w:rPr>
        <w:t>成立共青团“第二课堂成绩单”工作领导小组，指导共青团“第二课堂成绩单”制度和体系建设。领导小组组长由学校主要领导担任，分管共青团工作、学生工作和教学工作的校领导担任副组长，成员由校团委、教务处、宣传部、学工部等部门负责同志及各学院主要领导组成。领导小组办公室设在校团委，由校团委书记担任办公室主任。</w:t>
      </w:r>
    </w:p>
    <w:p>
      <w:pPr>
        <w:snapToGrid w:val="0"/>
        <w:spacing w:line="51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2</w:t>
      </w:r>
      <w:r>
        <w:rPr>
          <w:rFonts w:hint="eastAsia" w:ascii="方正仿宋简体" w:eastAsia="方正仿宋简体"/>
          <w:color w:val="000000"/>
          <w:spacing w:val="2"/>
          <w:sz w:val="32"/>
          <w:szCs w:val="32"/>
        </w:rPr>
        <w:t>．健全管理体系</w:t>
      </w:r>
    </w:p>
    <w:p>
      <w:pPr>
        <w:snapToGrid w:val="0"/>
        <w:spacing w:line="510" w:lineRule="exact"/>
        <w:ind w:firstLine="648" w:firstLineChars="200"/>
        <w:rPr>
          <w:rFonts w:ascii="方正仿宋简体" w:eastAsia="方正仿宋简体"/>
          <w:color w:val="000000"/>
          <w:spacing w:val="2"/>
          <w:sz w:val="32"/>
          <w:szCs w:val="32"/>
        </w:rPr>
      </w:pPr>
      <w:r>
        <w:rPr>
          <w:rFonts w:hint="eastAsia" w:ascii="方正仿宋简体" w:eastAsia="方正仿宋简体"/>
          <w:color w:val="000000"/>
          <w:spacing w:val="2"/>
          <w:sz w:val="32"/>
          <w:szCs w:val="32"/>
        </w:rPr>
        <w:t>整合第二课堂资源，结合</w:t>
      </w:r>
      <w:r>
        <w:rPr>
          <w:rFonts w:hint="eastAsia" w:ascii="方正仿宋简体" w:eastAsia="方正仿宋简体"/>
          <w:color w:val="000000"/>
          <w:spacing w:val="2"/>
          <w:sz w:val="32"/>
          <w:szCs w:val="32"/>
          <w:lang w:val="en-US" w:eastAsia="zh-CN"/>
        </w:rPr>
        <w:t>我院</w:t>
      </w:r>
      <w:r>
        <w:rPr>
          <w:rFonts w:hint="eastAsia" w:ascii="方正仿宋简体" w:eastAsia="方正仿宋简体"/>
          <w:color w:val="000000"/>
          <w:spacing w:val="2"/>
          <w:sz w:val="32"/>
          <w:szCs w:val="32"/>
        </w:rPr>
        <w:t>人才培养实际，由</w:t>
      </w:r>
      <w:r>
        <w:rPr>
          <w:rFonts w:hint="eastAsia" w:ascii="方正仿宋简体" w:eastAsia="方正仿宋简体"/>
          <w:color w:val="000000"/>
          <w:spacing w:val="2"/>
          <w:sz w:val="32"/>
          <w:szCs w:val="32"/>
          <w:lang w:val="en-US" w:eastAsia="zh-CN"/>
        </w:rPr>
        <w:t>院</w:t>
      </w:r>
      <w:r>
        <w:rPr>
          <w:rFonts w:hint="eastAsia" w:ascii="方正仿宋简体" w:eastAsia="方正仿宋简体"/>
          <w:color w:val="000000"/>
          <w:spacing w:val="2"/>
          <w:sz w:val="32"/>
          <w:szCs w:val="32"/>
        </w:rPr>
        <w:t>团委、教务处共同制定“第二课堂成绩单”制度实施方案及有关实施办法、细则。规范网上课程申请审核流程，细化认定学分操作步骤，设置校、院两级网络系统课程发布、审核和管理权限，实现学生申报、学院审核、学校复核的管理模式。</w:t>
      </w:r>
    </w:p>
    <w:p>
      <w:pPr>
        <w:snapToGrid w:val="0"/>
        <w:spacing w:line="51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3</w:t>
      </w:r>
      <w:r>
        <w:rPr>
          <w:rFonts w:hint="eastAsia" w:ascii="方正仿宋简体" w:eastAsia="方正仿宋简体"/>
          <w:color w:val="000000"/>
          <w:spacing w:val="2"/>
          <w:sz w:val="32"/>
          <w:szCs w:val="32"/>
        </w:rPr>
        <w:t>．建立预警机制</w:t>
      </w:r>
    </w:p>
    <w:p>
      <w:pPr>
        <w:snapToGrid w:val="0"/>
        <w:spacing w:line="510" w:lineRule="exact"/>
        <w:ind w:firstLine="648" w:firstLineChars="200"/>
        <w:rPr>
          <w:rFonts w:ascii="方正仿宋简体" w:eastAsia="方正仿宋简体"/>
          <w:color w:val="000000"/>
          <w:spacing w:val="2"/>
          <w:sz w:val="32"/>
          <w:szCs w:val="32"/>
        </w:rPr>
      </w:pPr>
      <w:r>
        <w:rPr>
          <w:rFonts w:hint="eastAsia" w:ascii="方正仿宋简体" w:eastAsia="方正仿宋简体"/>
          <w:color w:val="000000"/>
          <w:spacing w:val="2"/>
          <w:sz w:val="32"/>
          <w:szCs w:val="32"/>
          <w:lang w:val="en-US" w:eastAsia="zh-CN"/>
        </w:rPr>
        <w:t>学院</w:t>
      </w:r>
      <w:r>
        <w:rPr>
          <w:rFonts w:hint="eastAsia" w:ascii="方正仿宋简体" w:eastAsia="方正仿宋简体"/>
          <w:color w:val="000000"/>
          <w:spacing w:val="2"/>
          <w:sz w:val="32"/>
          <w:szCs w:val="32"/>
        </w:rPr>
        <w:t>建立“第二课堂成绩单”学分预警机制。</w:t>
      </w:r>
      <w:r>
        <w:rPr>
          <w:rFonts w:hint="eastAsia" w:ascii="方正仿宋简体" w:eastAsia="方正仿宋简体"/>
          <w:color w:val="000000"/>
          <w:spacing w:val="2"/>
          <w:sz w:val="32"/>
          <w:szCs w:val="32"/>
          <w:lang w:val="en-US" w:eastAsia="zh-CN"/>
        </w:rPr>
        <w:t>院</w:t>
      </w:r>
      <w:r>
        <w:rPr>
          <w:rFonts w:hint="eastAsia" w:ascii="方正仿宋简体" w:eastAsia="方正仿宋简体"/>
          <w:color w:val="000000"/>
          <w:spacing w:val="2"/>
          <w:sz w:val="32"/>
          <w:szCs w:val="32"/>
        </w:rPr>
        <w:t>团委对于每学年获得学分低于</w:t>
      </w: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学分的学生进行预警（已修完全部学分者除外），确保学生能够顺利毕业。学生在毕业前仍未修够</w:t>
      </w:r>
      <w:r>
        <w:rPr>
          <w:rFonts w:ascii="方正仿宋简体" w:eastAsia="方正仿宋简体"/>
          <w:color w:val="000000"/>
          <w:spacing w:val="2"/>
          <w:sz w:val="32"/>
          <w:szCs w:val="32"/>
        </w:rPr>
        <w:t>3</w:t>
      </w:r>
      <w:r>
        <w:rPr>
          <w:rFonts w:hint="eastAsia" w:ascii="方正仿宋简体" w:eastAsia="方正仿宋简体"/>
          <w:color w:val="000000"/>
          <w:spacing w:val="2"/>
          <w:sz w:val="32"/>
          <w:szCs w:val="32"/>
        </w:rPr>
        <w:t>学分则按照结业处理，学生可在学校允许最长学习年限内（含结业时已在校学习年限）回校补足所欠学分，完成毕业规定学分方可毕业。</w:t>
      </w:r>
    </w:p>
    <w:p>
      <w:pPr>
        <w:snapToGrid w:val="0"/>
        <w:spacing w:line="510" w:lineRule="exact"/>
        <w:ind w:firstLine="648" w:firstLineChars="200"/>
        <w:rPr>
          <w:rFonts w:hint="eastAsia" w:ascii="黑体" w:eastAsia="黑体"/>
          <w:color w:val="000000"/>
          <w:spacing w:val="2"/>
          <w:sz w:val="32"/>
          <w:szCs w:val="32"/>
        </w:rPr>
      </w:pPr>
      <w:r>
        <w:rPr>
          <w:rFonts w:hint="eastAsia" w:ascii="黑体" w:eastAsia="黑体"/>
          <w:color w:val="000000"/>
          <w:spacing w:val="2"/>
          <w:sz w:val="32"/>
          <w:szCs w:val="32"/>
        </w:rPr>
        <w:t>十一、工作要求</w:t>
      </w:r>
    </w:p>
    <w:p>
      <w:pPr>
        <w:snapToGrid w:val="0"/>
        <w:spacing w:line="51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．切实加强组织领导。各</w:t>
      </w:r>
      <w:r>
        <w:rPr>
          <w:rFonts w:hint="eastAsia" w:ascii="方正仿宋简体" w:eastAsia="方正仿宋简体"/>
          <w:color w:val="000000"/>
          <w:spacing w:val="2"/>
          <w:sz w:val="32"/>
          <w:szCs w:val="32"/>
          <w:lang w:val="en-US" w:eastAsia="zh-CN"/>
        </w:rPr>
        <w:t>有关</w:t>
      </w:r>
      <w:r>
        <w:rPr>
          <w:rFonts w:hint="eastAsia" w:ascii="方正仿宋简体" w:eastAsia="方正仿宋简体"/>
          <w:color w:val="000000"/>
          <w:spacing w:val="2"/>
          <w:sz w:val="32"/>
          <w:szCs w:val="32"/>
        </w:rPr>
        <w:t>部门要高度重视共青团“第二课堂成绩单”制度，加强组织领导和统筹协调，认真履行职责；实现校院两级联动，层层抓落实，精心组织实施，着重发现问题，总结经验。</w:t>
      </w:r>
    </w:p>
    <w:p>
      <w:pPr>
        <w:snapToGrid w:val="0"/>
        <w:spacing w:line="510" w:lineRule="exact"/>
        <w:ind w:firstLine="640" w:firstLineChars="200"/>
        <w:rPr>
          <w:rFonts w:ascii="方正仿宋简体" w:eastAsia="方正仿宋简体"/>
          <w:color w:val="000000"/>
          <w:sz w:val="32"/>
          <w:szCs w:val="32"/>
        </w:rPr>
      </w:pPr>
      <w:r>
        <w:rPr>
          <w:rFonts w:ascii="方正仿宋简体" w:eastAsia="方正仿宋简体"/>
          <w:color w:val="000000"/>
          <w:sz w:val="32"/>
          <w:szCs w:val="32"/>
        </w:rPr>
        <w:t>2</w:t>
      </w:r>
      <w:r>
        <w:rPr>
          <w:rFonts w:hint="eastAsia" w:ascii="方正仿宋简体" w:eastAsia="方正仿宋简体"/>
          <w:color w:val="000000"/>
          <w:sz w:val="32"/>
          <w:szCs w:val="32"/>
        </w:rPr>
        <w:t>．完善各项机制。“第二课堂成绩单”涉及面广，各</w:t>
      </w:r>
      <w:r>
        <w:rPr>
          <w:rFonts w:hint="eastAsia" w:ascii="方正仿宋简体" w:eastAsia="方正仿宋简体"/>
          <w:color w:val="000000"/>
          <w:sz w:val="32"/>
          <w:szCs w:val="32"/>
          <w:lang w:val="en-US" w:eastAsia="zh-CN"/>
        </w:rPr>
        <w:t>有关</w:t>
      </w:r>
      <w:r>
        <w:rPr>
          <w:rFonts w:hint="eastAsia" w:ascii="方正仿宋简体" w:eastAsia="方正仿宋简体"/>
          <w:color w:val="000000"/>
          <w:sz w:val="32"/>
          <w:szCs w:val="32"/>
        </w:rPr>
        <w:t>部门要加强合作，在实施过程中逐步完善各项机制。要做好跟踪研判，及时发现和解决实施过程中的问题。落实制定管理机制、预警机制，确保“第二课堂成绩单”制度的正向激励作用。</w:t>
      </w:r>
    </w:p>
    <w:p>
      <w:pPr>
        <w:snapToGrid w:val="0"/>
        <w:spacing w:line="510" w:lineRule="exact"/>
        <w:ind w:firstLine="648" w:firstLineChars="200"/>
        <w:rPr>
          <w:rFonts w:ascii="方正仿宋简体" w:eastAsia="方正仿宋简体"/>
          <w:color w:val="000000"/>
          <w:spacing w:val="2"/>
          <w:sz w:val="32"/>
          <w:szCs w:val="32"/>
        </w:rPr>
      </w:pPr>
      <w:r>
        <w:rPr>
          <w:rFonts w:ascii="方正仿宋简体" w:eastAsia="方正仿宋简体"/>
          <w:color w:val="000000"/>
          <w:spacing w:val="2"/>
          <w:sz w:val="32"/>
          <w:szCs w:val="32"/>
        </w:rPr>
        <w:t>3</w:t>
      </w:r>
      <w:r>
        <w:rPr>
          <w:rFonts w:hint="eastAsia" w:ascii="方正仿宋简体" w:eastAsia="方正仿宋简体"/>
          <w:color w:val="000000"/>
          <w:spacing w:val="2"/>
          <w:sz w:val="32"/>
          <w:szCs w:val="32"/>
        </w:rPr>
        <w:t>．规范操作环节。各有关部门要严格按照各项流程规范操作，认真完成开课申请、课程审核、学分认证、考核记录、信息录入等工作。</w:t>
      </w:r>
    </w:p>
    <w:p>
      <w:pPr>
        <w:snapToGrid w:val="0"/>
        <w:spacing w:line="510" w:lineRule="exact"/>
        <w:ind w:firstLine="648" w:firstLineChars="200"/>
        <w:rPr>
          <w:rFonts w:ascii="方正仿宋简体" w:eastAsia="方正仿宋简体"/>
          <w:color w:val="000000"/>
          <w:spacing w:val="2"/>
          <w:sz w:val="32"/>
          <w:szCs w:val="32"/>
        </w:rPr>
      </w:pPr>
    </w:p>
    <w:p>
      <w:pPr>
        <w:snapToGrid w:val="0"/>
        <w:spacing w:line="510" w:lineRule="exact"/>
        <w:ind w:firstLine="648" w:firstLineChars="200"/>
        <w:rPr>
          <w:rFonts w:ascii="方正仿宋简体" w:eastAsia="方正仿宋简体"/>
          <w:color w:val="000000"/>
          <w:spacing w:val="2"/>
          <w:sz w:val="32"/>
          <w:szCs w:val="32"/>
        </w:rPr>
      </w:pPr>
    </w:p>
    <w:p>
      <w:pPr>
        <w:snapToGrid w:val="0"/>
        <w:spacing w:line="510" w:lineRule="exact"/>
        <w:ind w:firstLine="648" w:firstLineChars="200"/>
        <w:rPr>
          <w:rFonts w:hint="eastAsia" w:ascii="方正仿宋简体" w:eastAsia="方正仿宋简体"/>
          <w:color w:val="000000"/>
          <w:spacing w:val="2"/>
          <w:sz w:val="32"/>
          <w:szCs w:val="32"/>
        </w:rPr>
      </w:pPr>
      <w:r>
        <w:rPr>
          <w:rFonts w:hint="eastAsia" w:ascii="方正仿宋简体" w:eastAsia="方正仿宋简体"/>
          <w:color w:val="000000"/>
          <w:spacing w:val="2"/>
          <w:sz w:val="32"/>
          <w:szCs w:val="32"/>
        </w:rPr>
        <w:t>附件：</w:t>
      </w:r>
      <w:r>
        <w:rPr>
          <w:rFonts w:ascii="方正仿宋简体" w:eastAsia="方正仿宋简体"/>
          <w:color w:val="000000"/>
          <w:spacing w:val="2"/>
          <w:sz w:val="32"/>
          <w:szCs w:val="32"/>
        </w:rPr>
        <w:t>1</w:t>
      </w:r>
      <w:r>
        <w:rPr>
          <w:rFonts w:hint="eastAsia" w:ascii="方正仿宋简体" w:eastAsia="方正仿宋简体"/>
          <w:color w:val="000000"/>
          <w:spacing w:val="2"/>
          <w:sz w:val="32"/>
          <w:szCs w:val="32"/>
        </w:rPr>
        <w:t>．第二课堂学分设置标准</w:t>
      </w:r>
    </w:p>
    <w:p>
      <w:pPr>
        <w:snapToGrid w:val="0"/>
        <w:spacing w:line="510" w:lineRule="exact"/>
        <w:ind w:firstLine="648" w:firstLineChars="200"/>
        <w:rPr>
          <w:rFonts w:hint="eastAsia" w:ascii="方正仿宋简体" w:eastAsia="方正仿宋简体"/>
          <w:color w:val="000000"/>
          <w:spacing w:val="2"/>
          <w:sz w:val="32"/>
          <w:szCs w:val="32"/>
        </w:rPr>
      </w:pPr>
    </w:p>
    <w:p>
      <w:pPr>
        <w:snapToGrid w:val="0"/>
        <w:spacing w:line="510" w:lineRule="exact"/>
        <w:ind w:firstLine="648" w:firstLineChars="200"/>
        <w:rPr>
          <w:rFonts w:hint="eastAsia" w:ascii="方正仿宋简体" w:eastAsia="方正仿宋简体"/>
          <w:color w:val="000000"/>
          <w:spacing w:val="2"/>
          <w:sz w:val="32"/>
          <w:szCs w:val="32"/>
        </w:rPr>
      </w:pPr>
    </w:p>
    <w:p>
      <w:pPr>
        <w:snapToGrid w:val="0"/>
        <w:spacing w:line="510" w:lineRule="exact"/>
        <w:ind w:firstLine="648" w:firstLineChars="200"/>
        <w:rPr>
          <w:rFonts w:hint="eastAsia" w:ascii="方正仿宋简体" w:eastAsia="方正仿宋简体"/>
          <w:color w:val="000000"/>
          <w:spacing w:val="2"/>
          <w:sz w:val="32"/>
          <w:szCs w:val="32"/>
        </w:rPr>
      </w:pPr>
    </w:p>
    <w:p>
      <w:pPr>
        <w:snapToGrid w:val="0"/>
        <w:spacing w:line="510" w:lineRule="exact"/>
        <w:ind w:firstLine="648" w:firstLineChars="200"/>
        <w:rPr>
          <w:rFonts w:hint="eastAsia" w:ascii="方正仿宋简体" w:eastAsia="方正仿宋简体"/>
          <w:color w:val="000000"/>
          <w:spacing w:val="2"/>
          <w:sz w:val="32"/>
          <w:szCs w:val="32"/>
        </w:rPr>
      </w:pPr>
    </w:p>
    <w:p>
      <w:pPr>
        <w:snapToGrid w:val="0"/>
        <w:spacing w:line="510" w:lineRule="exact"/>
        <w:ind w:firstLine="648" w:firstLineChars="200"/>
        <w:rPr>
          <w:rFonts w:hint="eastAsia" w:ascii="方正仿宋简体" w:eastAsia="方正仿宋简体"/>
          <w:color w:val="000000"/>
          <w:spacing w:val="2"/>
          <w:sz w:val="32"/>
          <w:szCs w:val="32"/>
        </w:rPr>
      </w:pPr>
    </w:p>
    <w:p>
      <w:pPr>
        <w:snapToGrid w:val="0"/>
        <w:spacing w:line="510" w:lineRule="exact"/>
        <w:ind w:firstLine="648" w:firstLineChars="200"/>
        <w:rPr>
          <w:rFonts w:hint="eastAsia" w:ascii="方正仿宋简体" w:eastAsia="方正仿宋简体"/>
          <w:color w:val="000000"/>
          <w:spacing w:val="2"/>
          <w:sz w:val="32"/>
          <w:szCs w:val="32"/>
        </w:rPr>
      </w:pPr>
    </w:p>
    <w:p>
      <w:pPr>
        <w:snapToGrid w:val="0"/>
        <w:spacing w:line="510" w:lineRule="exact"/>
        <w:ind w:firstLine="648" w:firstLineChars="200"/>
        <w:rPr>
          <w:rFonts w:hint="eastAsia" w:ascii="方正仿宋简体" w:eastAsia="方正仿宋简体"/>
          <w:color w:val="000000"/>
          <w:spacing w:val="2"/>
          <w:sz w:val="32"/>
          <w:szCs w:val="32"/>
        </w:rPr>
      </w:pPr>
    </w:p>
    <w:p>
      <w:pPr>
        <w:snapToGrid w:val="0"/>
        <w:spacing w:line="510" w:lineRule="exact"/>
        <w:ind w:firstLine="648" w:firstLineChars="200"/>
        <w:rPr>
          <w:rFonts w:hint="eastAsia" w:ascii="方正仿宋简体" w:eastAsia="方正仿宋简体"/>
          <w:color w:val="000000"/>
          <w:spacing w:val="2"/>
          <w:sz w:val="32"/>
          <w:szCs w:val="32"/>
          <w:lang w:val="en-US" w:eastAsia="zh-CN"/>
        </w:rPr>
      </w:pPr>
      <w:r>
        <w:rPr>
          <w:rFonts w:hint="eastAsia" w:ascii="方正仿宋简体" w:eastAsia="方正仿宋简体"/>
          <w:color w:val="000000"/>
          <w:spacing w:val="2"/>
          <w:sz w:val="32"/>
          <w:szCs w:val="32"/>
          <w:lang w:val="en-US" w:eastAsia="zh-CN"/>
        </w:rPr>
        <w:t xml:space="preserve">               </w:t>
      </w:r>
    </w:p>
    <w:p>
      <w:pPr>
        <w:snapToGrid w:val="0"/>
        <w:spacing w:line="510" w:lineRule="exact"/>
        <w:ind w:firstLine="648" w:firstLineChars="200"/>
        <w:rPr>
          <w:rFonts w:hint="eastAsia" w:ascii="方正仿宋简体" w:eastAsia="方正仿宋简体"/>
          <w:color w:val="000000"/>
          <w:spacing w:val="2"/>
          <w:sz w:val="32"/>
          <w:szCs w:val="32"/>
          <w:lang w:val="en-US" w:eastAsia="zh-CN"/>
        </w:rPr>
      </w:pPr>
    </w:p>
    <w:p>
      <w:pPr>
        <w:snapToGrid w:val="0"/>
        <w:spacing w:line="510" w:lineRule="exact"/>
        <w:ind w:firstLine="648" w:firstLineChars="200"/>
        <w:rPr>
          <w:rFonts w:hint="eastAsia" w:ascii="方正仿宋简体" w:eastAsia="方正仿宋简体"/>
          <w:color w:val="000000"/>
          <w:spacing w:val="2"/>
          <w:sz w:val="32"/>
          <w:szCs w:val="32"/>
          <w:lang w:val="en-US" w:eastAsia="zh-CN"/>
        </w:rPr>
      </w:pPr>
    </w:p>
    <w:p>
      <w:pPr>
        <w:snapToGrid w:val="0"/>
        <w:spacing w:line="510" w:lineRule="exact"/>
        <w:ind w:firstLine="648" w:firstLineChars="200"/>
        <w:rPr>
          <w:rFonts w:hint="eastAsia" w:ascii="方正仿宋简体" w:eastAsia="方正仿宋简体"/>
          <w:color w:val="000000"/>
          <w:spacing w:val="2"/>
          <w:sz w:val="32"/>
          <w:szCs w:val="32"/>
          <w:lang w:val="en-US" w:eastAsia="zh-CN"/>
        </w:rPr>
      </w:pPr>
    </w:p>
    <w:p>
      <w:pPr>
        <w:snapToGrid w:val="0"/>
        <w:spacing w:line="510" w:lineRule="exact"/>
        <w:ind w:firstLine="648" w:firstLineChars="200"/>
        <w:rPr>
          <w:rFonts w:hint="eastAsia" w:ascii="方正仿宋简体" w:eastAsia="方正仿宋简体"/>
          <w:color w:val="000000"/>
          <w:spacing w:val="2"/>
          <w:sz w:val="32"/>
          <w:szCs w:val="32"/>
          <w:lang w:val="en-US" w:eastAsia="zh-CN"/>
        </w:rPr>
      </w:pPr>
    </w:p>
    <w:p>
      <w:pPr>
        <w:snapToGrid w:val="0"/>
        <w:spacing w:line="510" w:lineRule="exact"/>
        <w:ind w:firstLine="2916" w:firstLineChars="900"/>
        <w:rPr>
          <w:rFonts w:hint="eastAsia" w:ascii="方正仿宋简体" w:eastAsia="方正仿宋简体"/>
          <w:color w:val="000000"/>
          <w:spacing w:val="2"/>
          <w:sz w:val="32"/>
          <w:szCs w:val="32"/>
          <w:lang w:val="en-US" w:eastAsia="zh-CN"/>
        </w:rPr>
      </w:pPr>
      <w:bookmarkStart w:id="0" w:name="_GoBack"/>
      <w:bookmarkEnd w:id="0"/>
      <w:r>
        <w:rPr>
          <w:rFonts w:hint="eastAsia" w:ascii="方正仿宋简体" w:eastAsia="方正仿宋简体"/>
          <w:color w:val="000000"/>
          <w:spacing w:val="2"/>
          <w:sz w:val="32"/>
          <w:szCs w:val="32"/>
          <w:lang w:val="en-US" w:eastAsia="zh-CN"/>
        </w:rPr>
        <w:t xml:space="preserve"> 共青团石河子大学文学艺术学院委员会</w:t>
      </w:r>
    </w:p>
    <w:p>
      <w:pPr>
        <w:snapToGrid w:val="0"/>
        <w:spacing w:line="510" w:lineRule="exact"/>
        <w:ind w:firstLine="648" w:firstLineChars="200"/>
        <w:rPr>
          <w:rFonts w:hint="eastAsia" w:ascii="方正仿宋简体" w:eastAsia="方正仿宋简体"/>
          <w:color w:val="000000"/>
          <w:spacing w:val="2"/>
          <w:sz w:val="32"/>
          <w:szCs w:val="32"/>
          <w:lang w:val="en-US" w:eastAsia="zh-CN"/>
        </w:rPr>
      </w:pPr>
    </w:p>
    <w:p>
      <w:pPr>
        <w:snapToGrid w:val="0"/>
        <w:spacing w:line="510" w:lineRule="exact"/>
        <w:ind w:firstLine="648" w:firstLineChars="200"/>
        <w:rPr>
          <w:rFonts w:hint="default" w:ascii="方正仿宋简体" w:eastAsia="方正仿宋简体"/>
          <w:color w:val="000000"/>
          <w:spacing w:val="2"/>
          <w:sz w:val="32"/>
          <w:szCs w:val="32"/>
          <w:lang w:val="en-US" w:eastAsia="zh-CN"/>
        </w:rPr>
        <w:sectPr>
          <w:headerReference r:id="rId4" w:type="first"/>
          <w:headerReference r:id="rId3" w:type="default"/>
          <w:footerReference r:id="rId5" w:type="default"/>
          <w:footerReference r:id="rId6" w:type="even"/>
          <w:pgSz w:w="11906" w:h="16838"/>
          <w:pgMar w:top="2098" w:right="1531" w:bottom="1985" w:left="1531" w:header="851" w:footer="992" w:gutter="0"/>
          <w:pgNumType w:fmt="numberInDash"/>
          <w:cols w:space="720" w:num="1"/>
          <w:docGrid w:type="lines" w:linePitch="312" w:charSpace="0"/>
        </w:sectPr>
      </w:pPr>
      <w:r>
        <w:rPr>
          <w:rFonts w:hint="eastAsia" w:ascii="方正仿宋简体" w:eastAsia="方正仿宋简体"/>
          <w:color w:val="000000"/>
          <w:spacing w:val="2"/>
          <w:sz w:val="32"/>
          <w:szCs w:val="32"/>
          <w:lang w:val="en-US" w:eastAsia="zh-CN"/>
        </w:rPr>
        <w:t xml:space="preserve">                         2020年6月9日</w:t>
      </w:r>
    </w:p>
    <w:p>
      <w:pPr>
        <w:widowControl/>
        <w:adjustRightInd w:val="0"/>
        <w:snapToGrid w:val="0"/>
        <w:spacing w:line="580" w:lineRule="exact"/>
        <w:jc w:val="left"/>
        <w:rPr>
          <w:rFonts w:hint="eastAsia" w:ascii="黑体" w:eastAsia="黑体" w:cs="宋体"/>
          <w:kern w:val="0"/>
          <w:sz w:val="32"/>
          <w:szCs w:val="32"/>
        </w:rPr>
      </w:pPr>
      <w:r>
        <w:rPr>
          <w:rFonts w:hint="eastAsia" w:ascii="黑体" w:eastAsia="黑体" w:cs="宋体"/>
          <w:kern w:val="0"/>
          <w:sz w:val="32"/>
          <w:szCs w:val="32"/>
        </w:rPr>
        <w:t>附件1：</w:t>
      </w:r>
    </w:p>
    <w:p>
      <w:pPr>
        <w:jc w:val="center"/>
        <w:rPr>
          <w:rFonts w:hint="eastAsia" w:ascii="方正小标宋简体" w:eastAsia="方正小标宋简体" w:cs="宋体"/>
          <w:color w:val="000000"/>
          <w:sz w:val="44"/>
          <w:szCs w:val="44"/>
        </w:rPr>
      </w:pPr>
      <w:r>
        <w:rPr>
          <w:rFonts w:hint="eastAsia" w:ascii="方正小标宋简体" w:eastAsia="方正小标宋简体"/>
          <w:color w:val="000000"/>
          <w:sz w:val="44"/>
          <w:szCs w:val="44"/>
        </w:rPr>
        <w:t>第二课堂学分设置标准</w:t>
      </w:r>
    </w:p>
    <w:tbl>
      <w:tblPr>
        <w:tblStyle w:val="4"/>
        <w:tblW w:w="13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2721"/>
        <w:gridCol w:w="6024"/>
        <w:gridCol w:w="1584"/>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1885" w:type="dxa"/>
            <w:vMerge w:val="restart"/>
            <w:noWrap w:val="0"/>
            <w:vAlign w:val="center"/>
          </w:tcPr>
          <w:p>
            <w:pPr>
              <w:jc w:val="center"/>
              <w:rPr>
                <w:rFonts w:eastAsia="仿宋_GB2312" w:cs="宋体"/>
                <w:b/>
                <w:color w:val="000000"/>
                <w:sz w:val="24"/>
              </w:rPr>
            </w:pPr>
            <w:r>
              <w:rPr>
                <w:rFonts w:hint="eastAsia" w:eastAsia="仿宋_GB2312"/>
                <w:b/>
                <w:color w:val="000000"/>
              </w:rPr>
              <w:t>课程分类</w:t>
            </w:r>
          </w:p>
        </w:tc>
        <w:tc>
          <w:tcPr>
            <w:tcW w:w="2721" w:type="dxa"/>
            <w:vMerge w:val="restart"/>
            <w:noWrap w:val="0"/>
            <w:vAlign w:val="center"/>
          </w:tcPr>
          <w:p>
            <w:pPr>
              <w:jc w:val="center"/>
              <w:rPr>
                <w:rFonts w:eastAsia="仿宋_GB2312" w:cs="宋体"/>
                <w:b/>
                <w:color w:val="000000"/>
                <w:sz w:val="22"/>
              </w:rPr>
            </w:pPr>
            <w:r>
              <w:rPr>
                <w:rFonts w:hint="eastAsia" w:eastAsia="仿宋_GB2312"/>
                <w:b/>
                <w:color w:val="000000"/>
                <w:sz w:val="22"/>
              </w:rPr>
              <w:t>二级分类</w:t>
            </w:r>
          </w:p>
        </w:tc>
        <w:tc>
          <w:tcPr>
            <w:tcW w:w="6024" w:type="dxa"/>
            <w:vMerge w:val="restart"/>
            <w:noWrap w:val="0"/>
            <w:vAlign w:val="center"/>
          </w:tcPr>
          <w:p>
            <w:pPr>
              <w:jc w:val="center"/>
              <w:rPr>
                <w:rFonts w:eastAsia="仿宋_GB2312" w:cs="宋体"/>
                <w:b/>
                <w:color w:val="000000"/>
                <w:sz w:val="24"/>
              </w:rPr>
            </w:pPr>
            <w:r>
              <w:rPr>
                <w:rFonts w:hint="eastAsia" w:eastAsia="仿宋_GB2312"/>
                <w:b/>
                <w:color w:val="000000"/>
              </w:rPr>
              <w:t>标准</w:t>
            </w:r>
          </w:p>
        </w:tc>
        <w:tc>
          <w:tcPr>
            <w:tcW w:w="3362" w:type="dxa"/>
            <w:gridSpan w:val="2"/>
            <w:noWrap w:val="0"/>
            <w:vAlign w:val="center"/>
          </w:tcPr>
          <w:p>
            <w:pPr>
              <w:jc w:val="center"/>
              <w:rPr>
                <w:rFonts w:eastAsia="仿宋_GB2312" w:cs="宋体"/>
                <w:b/>
                <w:color w:val="000000"/>
                <w:sz w:val="24"/>
              </w:rPr>
            </w:pPr>
            <w:r>
              <w:rPr>
                <w:rFonts w:hint="eastAsia" w:eastAsia="仿宋_GB2312"/>
                <w:b/>
                <w:color w:val="000000"/>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885" w:type="dxa"/>
            <w:vMerge w:val="continue"/>
            <w:noWrap w:val="0"/>
            <w:vAlign w:val="center"/>
          </w:tcPr>
          <w:p>
            <w:pPr>
              <w:rPr>
                <w:rFonts w:eastAsia="仿宋_GB2312" w:cs="宋体"/>
                <w:color w:val="000000"/>
                <w:sz w:val="24"/>
              </w:rPr>
            </w:pPr>
          </w:p>
        </w:tc>
        <w:tc>
          <w:tcPr>
            <w:tcW w:w="2721" w:type="dxa"/>
            <w:vMerge w:val="continue"/>
            <w:noWrap w:val="0"/>
            <w:vAlign w:val="center"/>
          </w:tcPr>
          <w:p>
            <w:pPr>
              <w:rPr>
                <w:rFonts w:eastAsia="仿宋_GB2312" w:cs="宋体"/>
                <w:color w:val="000000"/>
                <w:sz w:val="22"/>
              </w:rPr>
            </w:pPr>
          </w:p>
        </w:tc>
        <w:tc>
          <w:tcPr>
            <w:tcW w:w="6024" w:type="dxa"/>
            <w:vMerge w:val="continue"/>
            <w:noWrap w:val="0"/>
            <w:vAlign w:val="center"/>
          </w:tcPr>
          <w:p>
            <w:pPr>
              <w:rPr>
                <w:rFonts w:eastAsia="仿宋_GB2312" w:cs="宋体"/>
                <w:color w:val="000000"/>
                <w:sz w:val="24"/>
              </w:rPr>
            </w:pPr>
          </w:p>
        </w:tc>
        <w:tc>
          <w:tcPr>
            <w:tcW w:w="1584" w:type="dxa"/>
            <w:noWrap w:val="0"/>
            <w:vAlign w:val="center"/>
          </w:tcPr>
          <w:p>
            <w:pPr>
              <w:jc w:val="center"/>
              <w:rPr>
                <w:rFonts w:eastAsia="仿宋_GB2312" w:cs="宋体"/>
                <w:b/>
                <w:color w:val="000000"/>
                <w:sz w:val="24"/>
              </w:rPr>
            </w:pPr>
            <w:r>
              <w:rPr>
                <w:rFonts w:hint="eastAsia" w:eastAsia="仿宋_GB2312"/>
                <w:b/>
                <w:color w:val="000000"/>
              </w:rPr>
              <w:t>校、院级</w:t>
            </w:r>
          </w:p>
        </w:tc>
        <w:tc>
          <w:tcPr>
            <w:tcW w:w="1778" w:type="dxa"/>
            <w:noWrap w:val="0"/>
            <w:vAlign w:val="center"/>
          </w:tcPr>
          <w:p>
            <w:pPr>
              <w:jc w:val="center"/>
              <w:rPr>
                <w:rFonts w:eastAsia="仿宋_GB2312" w:cs="宋体"/>
                <w:b/>
                <w:color w:val="000000"/>
                <w:sz w:val="24"/>
              </w:rPr>
            </w:pPr>
            <w:r>
              <w:rPr>
                <w:rFonts w:hint="eastAsia" w:eastAsia="仿宋_GB2312"/>
                <w:b/>
                <w:color w:val="000000"/>
              </w:rPr>
              <w:t>校级以上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885" w:type="dxa"/>
            <w:noWrap w:val="0"/>
            <w:vAlign w:val="center"/>
          </w:tcPr>
          <w:p>
            <w:pPr>
              <w:jc w:val="center"/>
              <w:rPr>
                <w:rFonts w:eastAsia="仿宋_GB2312" w:cs="宋体"/>
                <w:b/>
                <w:color w:val="000000"/>
                <w:sz w:val="22"/>
              </w:rPr>
            </w:pPr>
            <w:r>
              <w:rPr>
                <w:rFonts w:hint="eastAsia" w:eastAsia="仿宋_GB2312" w:cs="宋体"/>
                <w:b/>
                <w:color w:val="000000"/>
                <w:sz w:val="22"/>
              </w:rPr>
              <w:t>思想成长</w:t>
            </w:r>
          </w:p>
        </w:tc>
        <w:tc>
          <w:tcPr>
            <w:tcW w:w="2721" w:type="dxa"/>
            <w:noWrap w:val="0"/>
            <w:vAlign w:val="center"/>
          </w:tcPr>
          <w:p>
            <w:pPr>
              <w:jc w:val="center"/>
              <w:rPr>
                <w:rFonts w:eastAsia="仿宋_GB2312" w:cs="宋体"/>
                <w:color w:val="000000"/>
                <w:szCs w:val="21"/>
              </w:rPr>
            </w:pPr>
            <w:r>
              <w:rPr>
                <w:rFonts w:hint="eastAsia" w:eastAsia="仿宋_GB2312" w:cs="宋体"/>
                <w:color w:val="000000"/>
                <w:szCs w:val="21"/>
              </w:rPr>
              <w:t>人文知识讲座、党课、团课及</w:t>
            </w:r>
            <w:r>
              <w:rPr>
                <w:rFonts w:hint="eastAsia" w:eastAsia="仿宋_GB2312" w:cs="宋体"/>
                <w:szCs w:val="21"/>
              </w:rPr>
              <w:t>思想引领类活动等</w:t>
            </w:r>
          </w:p>
        </w:tc>
        <w:tc>
          <w:tcPr>
            <w:tcW w:w="6024" w:type="dxa"/>
            <w:noWrap w:val="0"/>
            <w:vAlign w:val="top"/>
          </w:tcPr>
          <w:p>
            <w:pPr>
              <w:snapToGrid w:val="0"/>
              <w:rPr>
                <w:rFonts w:eastAsia="仿宋_GB2312"/>
                <w:sz w:val="22"/>
              </w:rPr>
            </w:pPr>
            <w:r>
              <w:rPr>
                <w:rFonts w:eastAsia="仿宋_GB2312"/>
                <w:sz w:val="22"/>
              </w:rPr>
              <w:t>1.</w:t>
            </w:r>
            <w:r>
              <w:rPr>
                <w:rFonts w:hint="eastAsia" w:eastAsia="仿宋_GB2312"/>
                <w:sz w:val="22"/>
              </w:rPr>
              <w:t>累积参与完成</w:t>
            </w:r>
            <w:r>
              <w:rPr>
                <w:rFonts w:eastAsia="仿宋_GB2312"/>
                <w:sz w:val="22"/>
              </w:rPr>
              <w:t>5</w:t>
            </w:r>
            <w:r>
              <w:rPr>
                <w:rFonts w:hint="eastAsia" w:eastAsia="仿宋_GB2312"/>
                <w:sz w:val="22"/>
              </w:rPr>
              <w:t>次讲座，可获得</w:t>
            </w:r>
            <w:r>
              <w:rPr>
                <w:rFonts w:eastAsia="仿宋_GB2312"/>
                <w:sz w:val="22"/>
              </w:rPr>
              <w:t>1</w:t>
            </w:r>
            <w:r>
              <w:rPr>
                <w:rFonts w:hint="eastAsia" w:eastAsia="仿宋_GB2312"/>
                <w:sz w:val="22"/>
              </w:rPr>
              <w:t>学分；</w:t>
            </w:r>
          </w:p>
          <w:p>
            <w:pPr>
              <w:snapToGrid w:val="0"/>
              <w:rPr>
                <w:rFonts w:eastAsia="仿宋_GB2312"/>
                <w:sz w:val="22"/>
              </w:rPr>
            </w:pPr>
            <w:r>
              <w:rPr>
                <w:rFonts w:eastAsia="仿宋_GB2312"/>
                <w:sz w:val="22"/>
              </w:rPr>
              <w:t>2.</w:t>
            </w:r>
            <w:r>
              <w:rPr>
                <w:rFonts w:hint="eastAsia" w:eastAsia="仿宋_GB2312"/>
                <w:sz w:val="22"/>
              </w:rPr>
              <w:t>为便于统计操作，系统内单次课程可设置为</w:t>
            </w:r>
            <w:r>
              <w:rPr>
                <w:rFonts w:eastAsia="仿宋_GB2312"/>
                <w:sz w:val="22"/>
              </w:rPr>
              <w:t>0.2</w:t>
            </w:r>
            <w:r>
              <w:rPr>
                <w:rFonts w:hint="eastAsia" w:eastAsia="仿宋_GB2312"/>
                <w:sz w:val="22"/>
              </w:rPr>
              <w:t>学分。</w:t>
            </w:r>
          </w:p>
          <w:p>
            <w:pPr>
              <w:snapToGrid w:val="0"/>
              <w:rPr>
                <w:rFonts w:eastAsia="仿宋_GB2312" w:cs="宋体"/>
                <w:sz w:val="22"/>
              </w:rPr>
            </w:pPr>
            <w:r>
              <w:rPr>
                <w:rFonts w:eastAsia="仿宋_GB2312" w:cs="宋体"/>
                <w:sz w:val="22"/>
              </w:rPr>
              <w:t>3.</w:t>
            </w:r>
            <w:r>
              <w:rPr>
                <w:rFonts w:hint="eastAsia" w:eastAsia="仿宋_GB2312" w:cs="宋体"/>
                <w:sz w:val="22"/>
              </w:rPr>
              <w:t>各类活动组织者（负责人）和参与者（例如主讲人、选手等）每次计</w:t>
            </w:r>
            <w:r>
              <w:rPr>
                <w:rFonts w:eastAsia="仿宋_GB2312" w:cs="宋体"/>
                <w:sz w:val="22"/>
              </w:rPr>
              <w:t>1</w:t>
            </w:r>
            <w:r>
              <w:rPr>
                <w:rFonts w:hint="eastAsia" w:eastAsia="仿宋_GB2312" w:cs="宋体"/>
                <w:sz w:val="22"/>
              </w:rPr>
              <w:t>学分（属各类学生组织职责范围内的活动，组织者或负责人不加分）；观看</w:t>
            </w:r>
            <w:r>
              <w:rPr>
                <w:rFonts w:eastAsia="仿宋_GB2312" w:cs="宋体"/>
                <w:sz w:val="22"/>
              </w:rPr>
              <w:t>5</w:t>
            </w:r>
            <w:r>
              <w:rPr>
                <w:rFonts w:hint="eastAsia" w:eastAsia="仿宋_GB2312" w:cs="宋体"/>
                <w:sz w:val="22"/>
              </w:rPr>
              <w:t>次思想成长类活动方可获得</w:t>
            </w:r>
            <w:r>
              <w:rPr>
                <w:rFonts w:eastAsia="仿宋_GB2312" w:cs="宋体"/>
                <w:sz w:val="22"/>
              </w:rPr>
              <w:t>1</w:t>
            </w:r>
            <w:r>
              <w:rPr>
                <w:rFonts w:hint="eastAsia" w:eastAsia="仿宋_GB2312" w:cs="宋体"/>
                <w:sz w:val="22"/>
              </w:rPr>
              <w:t>学分，系统内单次观众学分可设置为</w:t>
            </w:r>
            <w:r>
              <w:rPr>
                <w:rFonts w:eastAsia="仿宋_GB2312" w:cs="宋体"/>
                <w:sz w:val="22"/>
              </w:rPr>
              <w:t>0.2</w:t>
            </w:r>
            <w:r>
              <w:rPr>
                <w:rFonts w:hint="eastAsia" w:eastAsia="仿宋_GB2312" w:cs="宋体"/>
                <w:sz w:val="22"/>
              </w:rPr>
              <w:t>学分。</w:t>
            </w:r>
          </w:p>
          <w:p>
            <w:pPr>
              <w:snapToGrid w:val="0"/>
              <w:rPr>
                <w:rFonts w:eastAsia="仿宋_GB2312"/>
                <w:color w:val="FF0000"/>
                <w:sz w:val="22"/>
              </w:rPr>
            </w:pPr>
            <w:r>
              <w:rPr>
                <w:rFonts w:eastAsia="仿宋_GB2312" w:cs="宋体"/>
                <w:sz w:val="22"/>
              </w:rPr>
              <w:t>4.</w:t>
            </w:r>
            <w:r>
              <w:rPr>
                <w:rFonts w:hint="eastAsia" w:eastAsia="仿宋_GB2312" w:cs="宋体"/>
                <w:sz w:val="22"/>
              </w:rPr>
              <w:t>党课、团课等思想成长类理论课程每</w:t>
            </w:r>
            <w:r>
              <w:rPr>
                <w:rFonts w:eastAsia="仿宋_GB2312" w:cs="宋体"/>
                <w:sz w:val="22"/>
              </w:rPr>
              <w:t>16</w:t>
            </w:r>
            <w:r>
              <w:rPr>
                <w:rFonts w:hint="eastAsia" w:eastAsia="仿宋_GB2312" w:cs="宋体"/>
                <w:sz w:val="22"/>
              </w:rPr>
              <w:t>学时计</w:t>
            </w:r>
            <w:r>
              <w:rPr>
                <w:rFonts w:eastAsia="仿宋_GB2312" w:cs="宋体"/>
                <w:sz w:val="22"/>
              </w:rPr>
              <w:t>1</w:t>
            </w:r>
            <w:r>
              <w:rPr>
                <w:rFonts w:hint="eastAsia" w:eastAsia="仿宋_GB2312" w:cs="宋体"/>
                <w:sz w:val="22"/>
              </w:rPr>
              <w:t>学分。</w:t>
            </w:r>
          </w:p>
        </w:tc>
        <w:tc>
          <w:tcPr>
            <w:tcW w:w="3362" w:type="dxa"/>
            <w:gridSpan w:val="2"/>
            <w:noWrap w:val="0"/>
            <w:vAlign w:val="center"/>
          </w:tcPr>
          <w:p>
            <w:pPr>
              <w:rPr>
                <w:rFonts w:eastAsia="仿宋_GB2312" w:cs="宋体"/>
                <w:color w:val="000000"/>
                <w:sz w:val="24"/>
              </w:rPr>
            </w:pPr>
            <w:r>
              <w:rPr>
                <w:rFonts w:eastAsia="仿宋_GB2312"/>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885" w:type="dxa"/>
            <w:vMerge w:val="restart"/>
            <w:noWrap w:val="0"/>
            <w:vAlign w:val="center"/>
          </w:tcPr>
          <w:p>
            <w:pPr>
              <w:jc w:val="center"/>
              <w:rPr>
                <w:rFonts w:eastAsia="仿宋_GB2312" w:cs="宋体"/>
                <w:b/>
                <w:color w:val="000000"/>
                <w:sz w:val="22"/>
              </w:rPr>
            </w:pPr>
            <w:r>
              <w:rPr>
                <w:rFonts w:hint="eastAsia" w:eastAsia="仿宋_GB2312"/>
                <w:b/>
                <w:color w:val="000000"/>
                <w:sz w:val="22"/>
              </w:rPr>
              <w:t>工作履历</w:t>
            </w:r>
          </w:p>
        </w:tc>
        <w:tc>
          <w:tcPr>
            <w:tcW w:w="2721" w:type="dxa"/>
            <w:noWrap w:val="0"/>
            <w:vAlign w:val="center"/>
          </w:tcPr>
          <w:p>
            <w:pPr>
              <w:jc w:val="center"/>
              <w:rPr>
                <w:rFonts w:eastAsia="仿宋_GB2312" w:cs="宋体"/>
                <w:color w:val="000000"/>
                <w:szCs w:val="21"/>
              </w:rPr>
            </w:pPr>
            <w:r>
              <w:rPr>
                <w:rFonts w:hint="eastAsia" w:eastAsia="仿宋_GB2312"/>
                <w:color w:val="000000"/>
                <w:szCs w:val="21"/>
              </w:rPr>
              <w:t>学生社团</w:t>
            </w:r>
          </w:p>
        </w:tc>
        <w:tc>
          <w:tcPr>
            <w:tcW w:w="6024" w:type="dxa"/>
            <w:vMerge w:val="restart"/>
            <w:noWrap w:val="0"/>
            <w:vAlign w:val="center"/>
          </w:tcPr>
          <w:p>
            <w:pPr>
              <w:snapToGrid w:val="0"/>
              <w:rPr>
                <w:rFonts w:eastAsia="仿宋_GB2312" w:cs="宋体"/>
                <w:sz w:val="22"/>
              </w:rPr>
            </w:pPr>
            <w:r>
              <w:rPr>
                <w:rFonts w:eastAsia="仿宋_GB2312" w:cs="宋体"/>
                <w:sz w:val="22"/>
              </w:rPr>
              <w:t>1.</w:t>
            </w:r>
            <w:r>
              <w:rPr>
                <w:rFonts w:hint="eastAsia" w:eastAsia="仿宋_GB2312" w:cs="宋体"/>
                <w:sz w:val="22"/>
              </w:rPr>
              <w:t>有一年学生工作经历，且经所在组织考核合格后，可获得</w:t>
            </w:r>
            <w:r>
              <w:rPr>
                <w:rFonts w:eastAsia="仿宋_GB2312" w:cs="宋体"/>
                <w:sz w:val="22"/>
              </w:rPr>
              <w:t>1</w:t>
            </w:r>
            <w:r>
              <w:rPr>
                <w:rFonts w:hint="eastAsia" w:eastAsia="仿宋_GB2312" w:cs="宋体"/>
                <w:sz w:val="22"/>
              </w:rPr>
              <w:t>学分；各类工作履历由相关单位、所在组织考核合格，方可获取学分；</w:t>
            </w:r>
          </w:p>
          <w:p>
            <w:pPr>
              <w:snapToGrid w:val="0"/>
              <w:rPr>
                <w:rFonts w:eastAsia="仿宋_GB2312"/>
                <w:color w:val="000000"/>
                <w:sz w:val="20"/>
                <w:szCs w:val="20"/>
              </w:rPr>
            </w:pPr>
            <w:r>
              <w:rPr>
                <w:rFonts w:eastAsia="仿宋_GB2312" w:cs="宋体"/>
                <w:sz w:val="22"/>
              </w:rPr>
              <w:t>2.</w:t>
            </w:r>
            <w:r>
              <w:rPr>
                <w:rFonts w:hint="eastAsia" w:eastAsia="仿宋_GB2312" w:cs="宋体"/>
                <w:sz w:val="22"/>
              </w:rPr>
              <w:t>学生参与不同学生组织，经考核合格者，学分可以累加。</w:t>
            </w:r>
            <w:r>
              <w:rPr>
                <w:rFonts w:eastAsia="仿宋_GB2312" w:cs="宋体"/>
                <w:sz w:val="22"/>
              </w:rPr>
              <w:t xml:space="preserve">                                        </w:t>
            </w:r>
            <w:r>
              <w:rPr>
                <w:rFonts w:eastAsia="仿宋_GB2312" w:cs="宋体"/>
                <w:sz w:val="22"/>
              </w:rPr>
              <w:br w:type="textWrapping"/>
            </w:r>
          </w:p>
        </w:tc>
        <w:tc>
          <w:tcPr>
            <w:tcW w:w="3362" w:type="dxa"/>
            <w:gridSpan w:val="2"/>
            <w:vMerge w:val="restart"/>
            <w:noWrap w:val="0"/>
            <w:vAlign w:val="center"/>
          </w:tcPr>
          <w:p>
            <w:pPr>
              <w:rPr>
                <w:rFonts w:eastAsia="仿宋_GB2312" w:cs="宋体"/>
                <w:sz w:val="22"/>
              </w:rPr>
            </w:pPr>
            <w:r>
              <w:rPr>
                <w:rFonts w:eastAsia="仿宋_GB2312" w:cs="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885" w:type="dxa"/>
            <w:vMerge w:val="continue"/>
            <w:noWrap w:val="0"/>
            <w:vAlign w:val="center"/>
          </w:tcPr>
          <w:p>
            <w:pPr>
              <w:jc w:val="center"/>
              <w:rPr>
                <w:rFonts w:eastAsia="仿宋_GB2312"/>
                <w:color w:val="000000"/>
                <w:sz w:val="22"/>
              </w:rPr>
            </w:pPr>
          </w:p>
        </w:tc>
        <w:tc>
          <w:tcPr>
            <w:tcW w:w="2721" w:type="dxa"/>
            <w:noWrap w:val="0"/>
            <w:vAlign w:val="center"/>
          </w:tcPr>
          <w:p>
            <w:pPr>
              <w:jc w:val="center"/>
              <w:rPr>
                <w:rFonts w:eastAsia="仿宋_GB2312"/>
                <w:color w:val="000000"/>
                <w:szCs w:val="21"/>
              </w:rPr>
            </w:pPr>
            <w:r>
              <w:rPr>
                <w:rFonts w:hint="eastAsia" w:eastAsia="仿宋_GB2312"/>
                <w:color w:val="000000"/>
                <w:szCs w:val="21"/>
              </w:rPr>
              <w:t>团委（含团委委员）</w:t>
            </w:r>
          </w:p>
        </w:tc>
        <w:tc>
          <w:tcPr>
            <w:tcW w:w="6024" w:type="dxa"/>
            <w:vMerge w:val="continue"/>
            <w:noWrap w:val="0"/>
            <w:vAlign w:val="top"/>
          </w:tcPr>
          <w:p>
            <w:pPr>
              <w:snapToGrid w:val="0"/>
              <w:rPr>
                <w:rFonts w:eastAsia="仿宋_GB2312"/>
                <w:color w:val="000000"/>
                <w:sz w:val="20"/>
                <w:szCs w:val="20"/>
              </w:rPr>
            </w:pPr>
          </w:p>
        </w:tc>
        <w:tc>
          <w:tcPr>
            <w:tcW w:w="3362" w:type="dxa"/>
            <w:gridSpan w:val="2"/>
            <w:vMerge w:val="continue"/>
            <w:noWrap w:val="0"/>
            <w:vAlign w:val="center"/>
          </w:tcPr>
          <w:p>
            <w:pPr>
              <w:rPr>
                <w:rFonts w:eastAsia="仿宋_GB2312"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85" w:type="dxa"/>
            <w:vMerge w:val="continue"/>
            <w:noWrap w:val="0"/>
            <w:vAlign w:val="center"/>
          </w:tcPr>
          <w:p>
            <w:pPr>
              <w:rPr>
                <w:rFonts w:eastAsia="仿宋_GB2312" w:cs="宋体"/>
                <w:color w:val="000000"/>
                <w:sz w:val="22"/>
              </w:rPr>
            </w:pPr>
          </w:p>
        </w:tc>
        <w:tc>
          <w:tcPr>
            <w:tcW w:w="2721" w:type="dxa"/>
            <w:noWrap w:val="0"/>
            <w:vAlign w:val="center"/>
          </w:tcPr>
          <w:p>
            <w:pPr>
              <w:jc w:val="center"/>
              <w:rPr>
                <w:rFonts w:eastAsia="仿宋_GB2312" w:cs="宋体"/>
                <w:color w:val="000000"/>
                <w:szCs w:val="21"/>
              </w:rPr>
            </w:pPr>
            <w:r>
              <w:rPr>
                <w:rFonts w:hint="eastAsia" w:eastAsia="仿宋_GB2312"/>
                <w:color w:val="000000"/>
                <w:szCs w:val="21"/>
              </w:rPr>
              <w:t>学生会、社团管理部</w:t>
            </w:r>
          </w:p>
        </w:tc>
        <w:tc>
          <w:tcPr>
            <w:tcW w:w="6024" w:type="dxa"/>
            <w:vMerge w:val="continue"/>
            <w:noWrap w:val="0"/>
            <w:vAlign w:val="center"/>
          </w:tcPr>
          <w:p>
            <w:pPr>
              <w:snapToGrid w:val="0"/>
              <w:rPr>
                <w:rFonts w:eastAsia="仿宋_GB2312" w:cs="宋体"/>
                <w:color w:val="000000"/>
                <w:sz w:val="20"/>
                <w:szCs w:val="20"/>
              </w:rPr>
            </w:pPr>
          </w:p>
        </w:tc>
        <w:tc>
          <w:tcPr>
            <w:tcW w:w="3362" w:type="dxa"/>
            <w:gridSpan w:val="2"/>
            <w:vMerge w:val="continue"/>
            <w:noWrap w:val="0"/>
            <w:vAlign w:val="center"/>
          </w:tcPr>
          <w:p>
            <w:pPr>
              <w:rPr>
                <w:rFonts w:eastAsia="仿宋_GB2312"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885" w:type="dxa"/>
            <w:vMerge w:val="continue"/>
            <w:noWrap w:val="0"/>
            <w:vAlign w:val="center"/>
          </w:tcPr>
          <w:p>
            <w:pPr>
              <w:rPr>
                <w:rFonts w:eastAsia="仿宋_GB2312" w:cs="宋体"/>
                <w:color w:val="000000"/>
                <w:sz w:val="22"/>
              </w:rPr>
            </w:pPr>
          </w:p>
        </w:tc>
        <w:tc>
          <w:tcPr>
            <w:tcW w:w="2721" w:type="dxa"/>
            <w:noWrap w:val="0"/>
            <w:vAlign w:val="center"/>
          </w:tcPr>
          <w:p>
            <w:pPr>
              <w:jc w:val="center"/>
              <w:rPr>
                <w:rFonts w:eastAsia="仿宋_GB2312" w:cs="宋体"/>
                <w:color w:val="000000"/>
                <w:szCs w:val="21"/>
              </w:rPr>
            </w:pPr>
            <w:r>
              <w:rPr>
                <w:rFonts w:hint="eastAsia" w:eastAsia="仿宋_GB2312"/>
                <w:color w:val="000000"/>
                <w:szCs w:val="21"/>
              </w:rPr>
              <w:t>班团组织</w:t>
            </w:r>
          </w:p>
        </w:tc>
        <w:tc>
          <w:tcPr>
            <w:tcW w:w="6024" w:type="dxa"/>
            <w:vMerge w:val="continue"/>
            <w:noWrap w:val="0"/>
            <w:vAlign w:val="center"/>
          </w:tcPr>
          <w:p>
            <w:pPr>
              <w:snapToGrid w:val="0"/>
              <w:rPr>
                <w:rFonts w:eastAsia="仿宋_GB2312" w:cs="宋体"/>
                <w:color w:val="000000"/>
                <w:sz w:val="20"/>
                <w:szCs w:val="20"/>
              </w:rPr>
            </w:pPr>
          </w:p>
        </w:tc>
        <w:tc>
          <w:tcPr>
            <w:tcW w:w="3362" w:type="dxa"/>
            <w:gridSpan w:val="2"/>
            <w:vMerge w:val="continue"/>
            <w:noWrap w:val="0"/>
            <w:vAlign w:val="center"/>
          </w:tcPr>
          <w:p>
            <w:pPr>
              <w:rPr>
                <w:rFonts w:eastAsia="仿宋_GB2312"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85" w:type="dxa"/>
            <w:vMerge w:val="continue"/>
            <w:noWrap w:val="0"/>
            <w:vAlign w:val="center"/>
          </w:tcPr>
          <w:p>
            <w:pPr>
              <w:rPr>
                <w:rFonts w:eastAsia="仿宋_GB2312" w:cs="宋体"/>
                <w:color w:val="000000"/>
                <w:sz w:val="22"/>
              </w:rPr>
            </w:pPr>
          </w:p>
        </w:tc>
        <w:tc>
          <w:tcPr>
            <w:tcW w:w="2721" w:type="dxa"/>
            <w:noWrap w:val="0"/>
            <w:vAlign w:val="center"/>
          </w:tcPr>
          <w:p>
            <w:pPr>
              <w:jc w:val="center"/>
              <w:rPr>
                <w:rFonts w:eastAsia="仿宋_GB2312" w:cs="宋体"/>
                <w:color w:val="000000"/>
                <w:szCs w:val="21"/>
              </w:rPr>
            </w:pPr>
            <w:r>
              <w:rPr>
                <w:rFonts w:hint="eastAsia" w:eastAsia="仿宋_GB2312"/>
                <w:color w:val="000000"/>
                <w:szCs w:val="21"/>
              </w:rPr>
              <w:t>学生助理</w:t>
            </w:r>
          </w:p>
        </w:tc>
        <w:tc>
          <w:tcPr>
            <w:tcW w:w="6024" w:type="dxa"/>
            <w:vMerge w:val="continue"/>
            <w:noWrap w:val="0"/>
            <w:vAlign w:val="center"/>
          </w:tcPr>
          <w:p>
            <w:pPr>
              <w:snapToGrid w:val="0"/>
              <w:rPr>
                <w:rFonts w:eastAsia="仿宋_GB2312" w:cs="宋体"/>
                <w:color w:val="000000"/>
                <w:sz w:val="20"/>
                <w:szCs w:val="20"/>
              </w:rPr>
            </w:pPr>
          </w:p>
        </w:tc>
        <w:tc>
          <w:tcPr>
            <w:tcW w:w="3362" w:type="dxa"/>
            <w:gridSpan w:val="2"/>
            <w:vMerge w:val="continue"/>
            <w:noWrap w:val="0"/>
            <w:vAlign w:val="center"/>
          </w:tcPr>
          <w:p>
            <w:pPr>
              <w:rPr>
                <w:rFonts w:eastAsia="仿宋_GB2312"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85" w:type="dxa"/>
            <w:vMerge w:val="continue"/>
            <w:noWrap w:val="0"/>
            <w:vAlign w:val="center"/>
          </w:tcPr>
          <w:p>
            <w:pPr>
              <w:rPr>
                <w:rFonts w:eastAsia="仿宋_GB2312" w:cs="宋体"/>
                <w:color w:val="000000"/>
                <w:sz w:val="22"/>
              </w:rPr>
            </w:pPr>
          </w:p>
        </w:tc>
        <w:tc>
          <w:tcPr>
            <w:tcW w:w="2721" w:type="dxa"/>
            <w:noWrap w:val="0"/>
            <w:vAlign w:val="center"/>
          </w:tcPr>
          <w:p>
            <w:pPr>
              <w:jc w:val="center"/>
              <w:rPr>
                <w:rFonts w:eastAsia="仿宋_GB2312"/>
                <w:color w:val="000000"/>
                <w:szCs w:val="21"/>
              </w:rPr>
            </w:pPr>
            <w:r>
              <w:rPr>
                <w:rFonts w:hint="eastAsia" w:eastAsia="仿宋_GB2312"/>
                <w:color w:val="000000"/>
                <w:szCs w:val="21"/>
              </w:rPr>
              <w:t>其他</w:t>
            </w:r>
          </w:p>
        </w:tc>
        <w:tc>
          <w:tcPr>
            <w:tcW w:w="6024" w:type="dxa"/>
            <w:vMerge w:val="continue"/>
            <w:noWrap w:val="0"/>
            <w:vAlign w:val="center"/>
          </w:tcPr>
          <w:p>
            <w:pPr>
              <w:snapToGrid w:val="0"/>
              <w:rPr>
                <w:rFonts w:eastAsia="仿宋_GB2312" w:cs="宋体"/>
                <w:color w:val="000000"/>
                <w:sz w:val="20"/>
                <w:szCs w:val="20"/>
              </w:rPr>
            </w:pPr>
          </w:p>
        </w:tc>
        <w:tc>
          <w:tcPr>
            <w:tcW w:w="3362" w:type="dxa"/>
            <w:gridSpan w:val="2"/>
            <w:vMerge w:val="continue"/>
            <w:noWrap w:val="0"/>
            <w:vAlign w:val="center"/>
          </w:tcPr>
          <w:p>
            <w:pPr>
              <w:rPr>
                <w:rFonts w:eastAsia="仿宋_GB2312"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885" w:type="dxa"/>
            <w:vMerge w:val="restart"/>
            <w:noWrap w:val="0"/>
            <w:vAlign w:val="center"/>
          </w:tcPr>
          <w:p>
            <w:pPr>
              <w:jc w:val="center"/>
              <w:rPr>
                <w:rFonts w:eastAsia="仿宋_GB2312" w:cs="宋体"/>
                <w:b/>
                <w:color w:val="000000"/>
                <w:sz w:val="24"/>
              </w:rPr>
            </w:pPr>
            <w:r>
              <w:rPr>
                <w:rFonts w:hint="eastAsia" w:eastAsia="仿宋_GB2312"/>
                <w:b/>
                <w:color w:val="000000"/>
                <w:sz w:val="22"/>
              </w:rPr>
              <w:t>实践实习</w:t>
            </w:r>
          </w:p>
        </w:tc>
        <w:tc>
          <w:tcPr>
            <w:tcW w:w="2721" w:type="dxa"/>
            <w:noWrap w:val="0"/>
            <w:vAlign w:val="center"/>
          </w:tcPr>
          <w:p>
            <w:pPr>
              <w:jc w:val="center"/>
              <w:rPr>
                <w:rFonts w:eastAsia="仿宋_GB2312"/>
                <w:szCs w:val="21"/>
              </w:rPr>
            </w:pPr>
            <w:r>
              <w:rPr>
                <w:rFonts w:hint="eastAsia" w:eastAsia="仿宋_GB2312"/>
                <w:szCs w:val="21"/>
              </w:rPr>
              <w:t>社会实践</w:t>
            </w:r>
          </w:p>
        </w:tc>
        <w:tc>
          <w:tcPr>
            <w:tcW w:w="6024" w:type="dxa"/>
            <w:noWrap w:val="0"/>
            <w:vAlign w:val="center"/>
          </w:tcPr>
          <w:p>
            <w:pPr>
              <w:snapToGrid w:val="0"/>
              <w:rPr>
                <w:rFonts w:eastAsia="仿宋_GB2312" w:cs="宋体"/>
                <w:sz w:val="22"/>
              </w:rPr>
            </w:pPr>
            <w:r>
              <w:rPr>
                <w:rFonts w:eastAsia="仿宋_GB2312" w:cs="宋体"/>
                <w:sz w:val="22"/>
              </w:rPr>
              <w:t>1.</w:t>
            </w:r>
            <w:r>
              <w:rPr>
                <w:rFonts w:hint="eastAsia" w:eastAsia="仿宋_GB2312" w:cs="宋体"/>
                <w:sz w:val="22"/>
              </w:rPr>
              <w:t>暑期“三下乡”、寒假招生宣传等社会实践立项项目；</w:t>
            </w:r>
          </w:p>
          <w:p>
            <w:pPr>
              <w:snapToGrid w:val="0"/>
              <w:rPr>
                <w:rFonts w:eastAsia="仿宋_GB2312" w:cs="宋体"/>
                <w:sz w:val="22"/>
              </w:rPr>
            </w:pPr>
            <w:r>
              <w:rPr>
                <w:rFonts w:eastAsia="仿宋_GB2312" w:cs="宋体"/>
                <w:sz w:val="22"/>
              </w:rPr>
              <w:t>2.</w:t>
            </w:r>
            <w:r>
              <w:rPr>
                <w:rFonts w:hint="eastAsia" w:eastAsia="仿宋_GB2312" w:cs="宋体"/>
                <w:sz w:val="22"/>
              </w:rPr>
              <w:t>暑期“三下乡”立项项目要求参与时长不得少于</w:t>
            </w:r>
            <w:r>
              <w:rPr>
                <w:rFonts w:eastAsia="仿宋_GB2312" w:cs="宋体"/>
                <w:sz w:val="22"/>
              </w:rPr>
              <w:t>15</w:t>
            </w:r>
            <w:r>
              <w:rPr>
                <w:rFonts w:hint="eastAsia" w:eastAsia="仿宋_GB2312" w:cs="宋体"/>
                <w:sz w:val="22"/>
              </w:rPr>
              <w:t>天，方可得分。</w:t>
            </w:r>
          </w:p>
        </w:tc>
        <w:tc>
          <w:tcPr>
            <w:tcW w:w="1584" w:type="dxa"/>
            <w:noWrap w:val="0"/>
            <w:vAlign w:val="center"/>
          </w:tcPr>
          <w:p>
            <w:pPr>
              <w:rPr>
                <w:rFonts w:eastAsia="仿宋_GB2312" w:cs="宋体"/>
                <w:sz w:val="22"/>
              </w:rPr>
            </w:pPr>
            <w:r>
              <w:rPr>
                <w:rFonts w:hint="eastAsia" w:eastAsia="仿宋_GB2312" w:cs="宋体"/>
                <w:sz w:val="22"/>
              </w:rPr>
              <w:t>校、院级项目团队负责人</w:t>
            </w:r>
            <w:r>
              <w:rPr>
                <w:rFonts w:eastAsia="仿宋_GB2312" w:cs="宋体"/>
                <w:sz w:val="22"/>
              </w:rPr>
              <w:t>1.5</w:t>
            </w:r>
            <w:r>
              <w:rPr>
                <w:rFonts w:hint="eastAsia" w:eastAsia="仿宋_GB2312" w:cs="宋体"/>
                <w:sz w:val="22"/>
              </w:rPr>
              <w:t>学分，团队成员</w:t>
            </w:r>
            <w:r>
              <w:rPr>
                <w:rFonts w:eastAsia="仿宋_GB2312" w:cs="宋体"/>
                <w:sz w:val="22"/>
              </w:rPr>
              <w:t>1</w:t>
            </w:r>
            <w:r>
              <w:rPr>
                <w:rFonts w:hint="eastAsia" w:eastAsia="仿宋_GB2312" w:cs="宋体"/>
                <w:sz w:val="22"/>
              </w:rPr>
              <w:t>学分</w:t>
            </w:r>
          </w:p>
        </w:tc>
        <w:tc>
          <w:tcPr>
            <w:tcW w:w="1778" w:type="dxa"/>
            <w:noWrap w:val="0"/>
            <w:vAlign w:val="center"/>
          </w:tcPr>
          <w:p>
            <w:pPr>
              <w:rPr>
                <w:rFonts w:eastAsia="仿宋_GB2312" w:cs="宋体"/>
                <w:sz w:val="22"/>
              </w:rPr>
            </w:pPr>
            <w:r>
              <w:rPr>
                <w:rFonts w:hint="eastAsia" w:eastAsia="仿宋_GB2312" w:cs="宋体"/>
                <w:sz w:val="22"/>
              </w:rPr>
              <w:t>国家级、自治区（兵团）级项目团队负责人</w:t>
            </w:r>
            <w:r>
              <w:rPr>
                <w:rFonts w:eastAsia="仿宋_GB2312" w:cs="宋体"/>
                <w:sz w:val="22"/>
              </w:rPr>
              <w:t>2</w:t>
            </w:r>
            <w:r>
              <w:rPr>
                <w:rFonts w:hint="eastAsia" w:eastAsia="仿宋_GB2312" w:cs="宋体"/>
                <w:sz w:val="22"/>
              </w:rPr>
              <w:t>学分，团队成员</w:t>
            </w:r>
            <w:r>
              <w:rPr>
                <w:rFonts w:eastAsia="仿宋_GB2312" w:cs="宋体"/>
                <w:sz w:val="22"/>
              </w:rPr>
              <w:t>1.5</w:t>
            </w:r>
            <w:r>
              <w:rPr>
                <w:rFonts w:hint="eastAsia" w:eastAsia="仿宋_GB2312" w:cs="宋体"/>
                <w:sz w:val="22"/>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885" w:type="dxa"/>
            <w:vMerge w:val="continue"/>
            <w:noWrap w:val="0"/>
            <w:vAlign w:val="center"/>
          </w:tcPr>
          <w:p>
            <w:pPr>
              <w:rPr>
                <w:rFonts w:eastAsia="仿宋_GB2312" w:cs="宋体"/>
                <w:b/>
                <w:color w:val="000000"/>
                <w:sz w:val="24"/>
              </w:rPr>
            </w:pPr>
          </w:p>
        </w:tc>
        <w:tc>
          <w:tcPr>
            <w:tcW w:w="2721" w:type="dxa"/>
            <w:noWrap w:val="0"/>
            <w:vAlign w:val="center"/>
          </w:tcPr>
          <w:p>
            <w:pPr>
              <w:jc w:val="center"/>
              <w:rPr>
                <w:rFonts w:eastAsia="仿宋_GB2312"/>
                <w:szCs w:val="21"/>
              </w:rPr>
            </w:pPr>
            <w:r>
              <w:rPr>
                <w:rFonts w:hint="eastAsia" w:eastAsia="仿宋_GB2312"/>
                <w:szCs w:val="21"/>
              </w:rPr>
              <w:t>其他实践活动</w:t>
            </w:r>
          </w:p>
        </w:tc>
        <w:tc>
          <w:tcPr>
            <w:tcW w:w="6024" w:type="dxa"/>
            <w:noWrap w:val="0"/>
            <w:vAlign w:val="center"/>
          </w:tcPr>
          <w:p>
            <w:pPr>
              <w:snapToGrid w:val="0"/>
              <w:rPr>
                <w:rFonts w:eastAsia="仿宋_GB2312" w:cs="宋体"/>
                <w:sz w:val="22"/>
              </w:rPr>
            </w:pPr>
            <w:r>
              <w:rPr>
                <w:rFonts w:hint="eastAsia" w:eastAsia="仿宋_GB2312" w:cs="宋体"/>
                <w:sz w:val="22"/>
              </w:rPr>
              <w:t>第一课堂必修要求之外的其他实践活动，学生实践学分须按规定提交相关学分申请材料，如不能上交，将不予认定实践学分。</w:t>
            </w:r>
          </w:p>
        </w:tc>
        <w:tc>
          <w:tcPr>
            <w:tcW w:w="3362" w:type="dxa"/>
            <w:gridSpan w:val="2"/>
            <w:noWrap w:val="0"/>
            <w:vAlign w:val="center"/>
          </w:tcPr>
          <w:p>
            <w:pPr>
              <w:rPr>
                <w:rFonts w:eastAsia="仿宋_GB2312" w:cs="宋体"/>
                <w:color w:val="000000"/>
                <w:sz w:val="22"/>
              </w:rPr>
            </w:pPr>
            <w:r>
              <w:rPr>
                <w:rFonts w:eastAsia="仿宋_GB2312"/>
                <w:color w:val="000000"/>
                <w:sz w:val="22"/>
              </w:rPr>
              <w:t>1</w:t>
            </w:r>
          </w:p>
        </w:tc>
      </w:tr>
    </w:tbl>
    <w:p>
      <w:r>
        <w:br w:type="page"/>
      </w:r>
    </w:p>
    <w:tbl>
      <w:tblPr>
        <w:tblStyle w:val="4"/>
        <w:tblW w:w="13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2721"/>
        <w:gridCol w:w="6024"/>
        <w:gridCol w:w="1584"/>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8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color w:val="000000"/>
              </w:rPr>
            </w:pPr>
            <w:r>
              <w:rPr>
                <w:rFonts w:hint="eastAsia" w:eastAsia="仿宋_GB2312"/>
                <w:b/>
                <w:color w:val="000000"/>
              </w:rPr>
              <w:t>课程分类</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color w:val="000000"/>
              </w:rPr>
            </w:pPr>
            <w:r>
              <w:rPr>
                <w:rFonts w:hint="eastAsia" w:eastAsia="仿宋_GB2312"/>
                <w:b/>
                <w:color w:val="000000"/>
              </w:rPr>
              <w:t>二级分类</w:t>
            </w:r>
          </w:p>
        </w:tc>
        <w:tc>
          <w:tcPr>
            <w:tcW w:w="602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rFonts w:eastAsia="仿宋_GB2312"/>
                <w:b/>
                <w:sz w:val="22"/>
              </w:rPr>
            </w:pPr>
            <w:r>
              <w:rPr>
                <w:rFonts w:hint="eastAsia" w:eastAsia="仿宋_GB2312"/>
                <w:b/>
                <w:sz w:val="22"/>
              </w:rPr>
              <w:t>标准</w:t>
            </w:r>
          </w:p>
        </w:tc>
        <w:tc>
          <w:tcPr>
            <w:tcW w:w="33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2"/>
              </w:rPr>
            </w:pPr>
            <w:r>
              <w:rPr>
                <w:rFonts w:hint="eastAsia" w:eastAsia="仿宋_GB2312"/>
                <w:b/>
                <w:sz w:val="22"/>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85" w:type="dxa"/>
            <w:vMerge w:val="restart"/>
            <w:noWrap w:val="0"/>
            <w:vAlign w:val="center"/>
          </w:tcPr>
          <w:p>
            <w:pPr>
              <w:jc w:val="center"/>
              <w:rPr>
                <w:rFonts w:eastAsia="仿宋_GB2312" w:cs="宋体"/>
                <w:b/>
                <w:color w:val="000000"/>
                <w:sz w:val="24"/>
              </w:rPr>
            </w:pPr>
            <w:r>
              <w:rPr>
                <w:rFonts w:hint="eastAsia" w:eastAsia="仿宋_GB2312"/>
                <w:b/>
                <w:color w:val="000000"/>
              </w:rPr>
              <w:t>志愿公益</w:t>
            </w:r>
          </w:p>
        </w:tc>
        <w:tc>
          <w:tcPr>
            <w:tcW w:w="2721" w:type="dxa"/>
            <w:noWrap w:val="0"/>
            <w:vAlign w:val="center"/>
          </w:tcPr>
          <w:p>
            <w:pPr>
              <w:jc w:val="center"/>
              <w:rPr>
                <w:rFonts w:eastAsia="仿宋_GB2312" w:cs="宋体"/>
                <w:color w:val="000000"/>
                <w:sz w:val="24"/>
              </w:rPr>
            </w:pPr>
            <w:r>
              <w:rPr>
                <w:rFonts w:hint="eastAsia" w:eastAsia="仿宋_GB2312"/>
                <w:color w:val="000000"/>
              </w:rPr>
              <w:t>大型活动志愿服务</w:t>
            </w:r>
          </w:p>
        </w:tc>
        <w:tc>
          <w:tcPr>
            <w:tcW w:w="6024" w:type="dxa"/>
            <w:vMerge w:val="restart"/>
            <w:noWrap w:val="0"/>
            <w:vAlign w:val="center"/>
          </w:tcPr>
          <w:p>
            <w:pPr>
              <w:snapToGrid w:val="0"/>
              <w:spacing w:line="288" w:lineRule="auto"/>
              <w:jc w:val="left"/>
              <w:rPr>
                <w:rFonts w:eastAsia="仿宋_GB2312"/>
                <w:sz w:val="22"/>
              </w:rPr>
            </w:pPr>
            <w:r>
              <w:rPr>
                <w:rFonts w:eastAsia="仿宋_GB2312"/>
                <w:sz w:val="22"/>
              </w:rPr>
              <w:t>1.</w:t>
            </w:r>
            <w:r>
              <w:rPr>
                <w:rFonts w:hint="eastAsia" w:eastAsia="仿宋_GB2312"/>
                <w:sz w:val="22"/>
              </w:rPr>
              <w:t>志愿者须按照规定程序，在“中国青年志愿者”信息平台上进行登记注册并参加志愿服务活动和志愿者培训。未经注册的志愿者将无法认定志愿服务时长及志愿服务类学分；</w:t>
            </w:r>
          </w:p>
          <w:p>
            <w:pPr>
              <w:snapToGrid w:val="0"/>
              <w:spacing w:line="288" w:lineRule="auto"/>
              <w:jc w:val="left"/>
              <w:rPr>
                <w:rFonts w:eastAsia="仿宋_GB2312"/>
                <w:sz w:val="22"/>
              </w:rPr>
            </w:pPr>
            <w:r>
              <w:rPr>
                <w:rFonts w:eastAsia="仿宋_GB2312"/>
                <w:sz w:val="22"/>
              </w:rPr>
              <w:t>2.</w:t>
            </w:r>
            <w:r>
              <w:rPr>
                <w:rFonts w:hint="eastAsia" w:eastAsia="仿宋_GB2312"/>
                <w:sz w:val="22"/>
              </w:rPr>
              <w:t>常规志愿类、公益类社团活动不予记录为志愿公益学分；</w:t>
            </w:r>
          </w:p>
          <w:p>
            <w:pPr>
              <w:snapToGrid w:val="0"/>
              <w:spacing w:line="288" w:lineRule="auto"/>
              <w:jc w:val="left"/>
              <w:rPr>
                <w:rFonts w:hint="eastAsia" w:eastAsia="仿宋_GB2312"/>
                <w:sz w:val="22"/>
              </w:rPr>
            </w:pPr>
            <w:r>
              <w:rPr>
                <w:rFonts w:eastAsia="仿宋_GB2312"/>
                <w:sz w:val="22"/>
              </w:rPr>
              <w:t>3.</w:t>
            </w:r>
            <w:r>
              <w:rPr>
                <w:rFonts w:hint="eastAsia" w:eastAsia="仿宋_GB2312"/>
                <w:sz w:val="22"/>
              </w:rPr>
              <w:t>每门课程志愿服务时长满</w:t>
            </w:r>
            <w:r>
              <w:rPr>
                <w:rFonts w:eastAsia="仿宋_GB2312"/>
                <w:sz w:val="22"/>
              </w:rPr>
              <w:t>8</w:t>
            </w:r>
            <w:r>
              <w:rPr>
                <w:rFonts w:hint="eastAsia" w:eastAsia="仿宋_GB2312"/>
                <w:sz w:val="22"/>
              </w:rPr>
              <w:t>小时及以上计</w:t>
            </w:r>
            <w:r>
              <w:rPr>
                <w:rFonts w:eastAsia="仿宋_GB2312"/>
                <w:sz w:val="22"/>
              </w:rPr>
              <w:t>1</w:t>
            </w:r>
            <w:r>
              <w:rPr>
                <w:rFonts w:hint="eastAsia" w:eastAsia="仿宋_GB2312"/>
                <w:sz w:val="22"/>
              </w:rPr>
              <w:t>学分。</w:t>
            </w:r>
          </w:p>
        </w:tc>
        <w:tc>
          <w:tcPr>
            <w:tcW w:w="3362" w:type="dxa"/>
            <w:gridSpan w:val="2"/>
            <w:vMerge w:val="restart"/>
            <w:noWrap w:val="0"/>
            <w:vAlign w:val="center"/>
          </w:tcPr>
          <w:p>
            <w:pPr>
              <w:rPr>
                <w:rFonts w:eastAsia="仿宋_GB2312" w:cs="宋体"/>
                <w:sz w:val="22"/>
              </w:rPr>
            </w:pPr>
            <w:r>
              <w:rPr>
                <w:rFonts w:eastAsia="仿宋_GB2312"/>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885" w:type="dxa"/>
            <w:vMerge w:val="continue"/>
            <w:noWrap w:val="0"/>
            <w:vAlign w:val="center"/>
          </w:tcPr>
          <w:p>
            <w:pPr>
              <w:rPr>
                <w:rFonts w:eastAsia="仿宋_GB2312" w:cs="宋体"/>
                <w:color w:val="000000"/>
                <w:sz w:val="24"/>
              </w:rPr>
            </w:pPr>
          </w:p>
        </w:tc>
        <w:tc>
          <w:tcPr>
            <w:tcW w:w="2721" w:type="dxa"/>
            <w:noWrap w:val="0"/>
            <w:vAlign w:val="center"/>
          </w:tcPr>
          <w:p>
            <w:pPr>
              <w:jc w:val="center"/>
              <w:rPr>
                <w:rFonts w:eastAsia="仿宋_GB2312" w:cs="宋体"/>
                <w:color w:val="000000"/>
                <w:sz w:val="24"/>
              </w:rPr>
            </w:pPr>
            <w:r>
              <w:rPr>
                <w:rFonts w:hint="eastAsia" w:eastAsia="仿宋_GB2312"/>
                <w:color w:val="000000"/>
              </w:rPr>
              <w:t>日常志愿服务</w:t>
            </w:r>
          </w:p>
        </w:tc>
        <w:tc>
          <w:tcPr>
            <w:tcW w:w="6024" w:type="dxa"/>
            <w:vMerge w:val="continue"/>
            <w:noWrap w:val="0"/>
            <w:vAlign w:val="center"/>
          </w:tcPr>
          <w:p>
            <w:pPr>
              <w:snapToGrid w:val="0"/>
              <w:spacing w:line="288" w:lineRule="auto"/>
              <w:rPr>
                <w:rFonts w:eastAsia="仿宋_GB2312" w:cs="宋体"/>
                <w:color w:val="000000"/>
                <w:sz w:val="22"/>
              </w:rPr>
            </w:pPr>
          </w:p>
        </w:tc>
        <w:tc>
          <w:tcPr>
            <w:tcW w:w="3362" w:type="dxa"/>
            <w:gridSpan w:val="2"/>
            <w:vMerge w:val="continue"/>
            <w:noWrap w:val="0"/>
            <w:vAlign w:val="center"/>
          </w:tcPr>
          <w:p>
            <w:pPr>
              <w:rPr>
                <w:rFonts w:eastAsia="仿宋_GB2312"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885" w:type="dxa"/>
            <w:vMerge w:val="continue"/>
            <w:noWrap w:val="0"/>
            <w:vAlign w:val="center"/>
          </w:tcPr>
          <w:p>
            <w:pPr>
              <w:rPr>
                <w:rFonts w:eastAsia="仿宋_GB2312" w:cs="宋体"/>
                <w:color w:val="000000"/>
                <w:sz w:val="24"/>
              </w:rPr>
            </w:pPr>
          </w:p>
        </w:tc>
        <w:tc>
          <w:tcPr>
            <w:tcW w:w="2721" w:type="dxa"/>
            <w:noWrap w:val="0"/>
            <w:vAlign w:val="center"/>
          </w:tcPr>
          <w:p>
            <w:pPr>
              <w:jc w:val="center"/>
              <w:rPr>
                <w:rFonts w:eastAsia="仿宋_GB2312"/>
                <w:color w:val="000000"/>
              </w:rPr>
            </w:pPr>
            <w:r>
              <w:rPr>
                <w:rFonts w:hint="eastAsia" w:eastAsia="仿宋_GB2312"/>
                <w:color w:val="000000"/>
              </w:rPr>
              <w:t>志愿服务项目竞赛</w:t>
            </w:r>
          </w:p>
        </w:tc>
        <w:tc>
          <w:tcPr>
            <w:tcW w:w="6024" w:type="dxa"/>
            <w:noWrap w:val="0"/>
            <w:vAlign w:val="center"/>
          </w:tcPr>
          <w:p>
            <w:pPr>
              <w:snapToGrid w:val="0"/>
              <w:spacing w:line="288" w:lineRule="auto"/>
              <w:jc w:val="left"/>
              <w:rPr>
                <w:rFonts w:eastAsia="仿宋_GB2312" w:cs="宋体"/>
                <w:sz w:val="22"/>
              </w:rPr>
            </w:pPr>
            <w:r>
              <w:rPr>
                <w:rFonts w:eastAsia="仿宋_GB2312" w:cs="宋体"/>
                <w:sz w:val="22"/>
              </w:rPr>
              <w:t>1.</w:t>
            </w:r>
            <w:r>
              <w:rPr>
                <w:rFonts w:hint="eastAsia" w:eastAsia="仿宋_GB2312"/>
                <w:sz w:val="22"/>
              </w:rPr>
              <w:t>按照比赛级别：国家级、</w:t>
            </w:r>
            <w:r>
              <w:rPr>
                <w:rFonts w:hint="eastAsia" w:eastAsia="仿宋_GB2312" w:cs="宋体"/>
                <w:sz w:val="22"/>
              </w:rPr>
              <w:t>自治区（兵团）级</w:t>
            </w:r>
            <w:r>
              <w:rPr>
                <w:rFonts w:hint="eastAsia" w:eastAsia="仿宋_GB2312"/>
                <w:sz w:val="22"/>
              </w:rPr>
              <w:t>、校级；按照团队成员：项目主持人、项目参与者，分设不同学分；</w:t>
            </w:r>
          </w:p>
          <w:p>
            <w:pPr>
              <w:snapToGrid w:val="0"/>
              <w:spacing w:line="288" w:lineRule="auto"/>
              <w:jc w:val="left"/>
              <w:rPr>
                <w:rFonts w:hint="eastAsia" w:eastAsia="仿宋_GB2312"/>
                <w:sz w:val="22"/>
              </w:rPr>
            </w:pPr>
            <w:r>
              <w:rPr>
                <w:rFonts w:eastAsia="仿宋_GB2312" w:cs="宋体"/>
                <w:sz w:val="22"/>
              </w:rPr>
              <w:t>2.</w:t>
            </w:r>
            <w:r>
              <w:rPr>
                <w:rFonts w:hint="eastAsia" w:eastAsia="仿宋_GB2312"/>
                <w:sz w:val="22"/>
              </w:rPr>
              <w:t>同一项目参加同一竞赛，以最终参与的最高级别计学分，不累加。</w:t>
            </w:r>
          </w:p>
        </w:tc>
        <w:tc>
          <w:tcPr>
            <w:tcW w:w="3362" w:type="dxa"/>
            <w:gridSpan w:val="2"/>
            <w:noWrap w:val="0"/>
            <w:vAlign w:val="center"/>
          </w:tcPr>
          <w:p>
            <w:pPr>
              <w:rPr>
                <w:rFonts w:eastAsia="仿宋_GB2312" w:cs="宋体"/>
                <w:color w:val="FF0000"/>
                <w:sz w:val="22"/>
              </w:rPr>
            </w:pPr>
            <w:r>
              <w:rPr>
                <w:rFonts w:hint="eastAsia" w:eastAsia="仿宋_GB2312" w:cs="宋体"/>
                <w:sz w:val="22"/>
              </w:rPr>
              <w:t>校级项目负责人</w:t>
            </w:r>
            <w:r>
              <w:rPr>
                <w:rFonts w:eastAsia="仿宋_GB2312" w:cs="宋体"/>
                <w:sz w:val="22"/>
              </w:rPr>
              <w:t>1.5</w:t>
            </w:r>
            <w:r>
              <w:rPr>
                <w:rFonts w:hint="eastAsia" w:eastAsia="仿宋_GB2312" w:cs="宋体"/>
                <w:sz w:val="22"/>
              </w:rPr>
              <w:t>学分，团队成员</w:t>
            </w:r>
            <w:r>
              <w:rPr>
                <w:rFonts w:eastAsia="仿宋_GB2312" w:cs="宋体"/>
                <w:sz w:val="22"/>
              </w:rPr>
              <w:t>1</w:t>
            </w:r>
            <w:r>
              <w:rPr>
                <w:rFonts w:hint="eastAsia" w:eastAsia="仿宋_GB2312" w:cs="宋体"/>
                <w:sz w:val="22"/>
              </w:rPr>
              <w:t>学分；国家级、自治区（兵团）级项目负责人</w:t>
            </w:r>
            <w:r>
              <w:rPr>
                <w:rFonts w:eastAsia="仿宋_GB2312" w:cs="宋体"/>
                <w:sz w:val="22"/>
              </w:rPr>
              <w:t>2</w:t>
            </w:r>
            <w:r>
              <w:rPr>
                <w:rFonts w:hint="eastAsia" w:eastAsia="仿宋_GB2312" w:cs="宋体"/>
                <w:sz w:val="22"/>
              </w:rPr>
              <w:t>学分，团队成员</w:t>
            </w:r>
            <w:r>
              <w:rPr>
                <w:rFonts w:eastAsia="仿宋_GB2312" w:cs="宋体"/>
                <w:sz w:val="22"/>
              </w:rPr>
              <w:t>1.5</w:t>
            </w:r>
            <w:r>
              <w:rPr>
                <w:rFonts w:hint="eastAsia" w:eastAsia="仿宋_GB2312" w:cs="宋体"/>
                <w:sz w:val="22"/>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885" w:type="dxa"/>
            <w:vMerge w:val="continue"/>
            <w:noWrap w:val="0"/>
            <w:vAlign w:val="center"/>
          </w:tcPr>
          <w:p>
            <w:pPr>
              <w:rPr>
                <w:rFonts w:eastAsia="仿宋_GB2312" w:cs="宋体"/>
                <w:color w:val="000000"/>
                <w:sz w:val="24"/>
              </w:rPr>
            </w:pPr>
          </w:p>
        </w:tc>
        <w:tc>
          <w:tcPr>
            <w:tcW w:w="2721" w:type="dxa"/>
            <w:noWrap w:val="0"/>
            <w:vAlign w:val="center"/>
          </w:tcPr>
          <w:p>
            <w:pPr>
              <w:jc w:val="center"/>
              <w:rPr>
                <w:rFonts w:eastAsia="仿宋_GB2312" w:cs="宋体"/>
                <w:color w:val="000000"/>
                <w:sz w:val="24"/>
              </w:rPr>
            </w:pPr>
            <w:r>
              <w:rPr>
                <w:rFonts w:hint="eastAsia" w:eastAsia="仿宋_GB2312"/>
                <w:color w:val="000000"/>
              </w:rPr>
              <w:t>专项志愿服务</w:t>
            </w:r>
          </w:p>
        </w:tc>
        <w:tc>
          <w:tcPr>
            <w:tcW w:w="6024" w:type="dxa"/>
            <w:noWrap w:val="0"/>
            <w:vAlign w:val="center"/>
          </w:tcPr>
          <w:p>
            <w:pPr>
              <w:snapToGrid w:val="0"/>
              <w:spacing w:line="288" w:lineRule="auto"/>
              <w:jc w:val="left"/>
              <w:rPr>
                <w:rFonts w:hint="eastAsia" w:eastAsia="仿宋_GB2312"/>
                <w:color w:val="000000"/>
                <w:sz w:val="22"/>
              </w:rPr>
            </w:pPr>
            <w:r>
              <w:rPr>
                <w:rFonts w:hint="eastAsia" w:eastAsia="仿宋_GB2312"/>
                <w:color w:val="000000"/>
                <w:sz w:val="22"/>
              </w:rPr>
              <w:t>专项志愿服务为西部计划、研究生支教团等国家立项活动，按照国家级记录学分。</w:t>
            </w:r>
          </w:p>
        </w:tc>
        <w:tc>
          <w:tcPr>
            <w:tcW w:w="3362" w:type="dxa"/>
            <w:gridSpan w:val="2"/>
            <w:noWrap w:val="0"/>
            <w:vAlign w:val="center"/>
          </w:tcPr>
          <w:p>
            <w:pPr>
              <w:rPr>
                <w:rFonts w:eastAsia="仿宋_GB2312" w:cs="宋体"/>
                <w:color w:val="000000"/>
                <w:sz w:val="22"/>
              </w:rPr>
            </w:pPr>
            <w:r>
              <w:rPr>
                <w:rFonts w:hint="eastAsia" w:eastAsia="仿宋_GB2312"/>
                <w:color w:val="000000"/>
                <w:sz w:val="22"/>
              </w:rPr>
              <w:t>国家级</w:t>
            </w:r>
            <w:r>
              <w:rPr>
                <w:rFonts w:eastAsia="仿宋_GB2312"/>
                <w:color w:val="000000"/>
                <w:sz w:val="22"/>
              </w:rPr>
              <w:t>2</w:t>
            </w:r>
            <w:r>
              <w:rPr>
                <w:rFonts w:hint="eastAsia" w:eastAsia="仿宋_GB2312"/>
                <w:color w:val="00000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1885" w:type="dxa"/>
            <w:noWrap w:val="0"/>
            <w:vAlign w:val="center"/>
          </w:tcPr>
          <w:p>
            <w:pPr>
              <w:jc w:val="center"/>
              <w:rPr>
                <w:rFonts w:eastAsia="仿宋_GB2312" w:cs="宋体"/>
                <w:b/>
                <w:color w:val="000000"/>
                <w:sz w:val="24"/>
              </w:rPr>
            </w:pPr>
            <w:r>
              <w:rPr>
                <w:rFonts w:hint="eastAsia" w:eastAsia="仿宋_GB2312"/>
                <w:b/>
                <w:color w:val="000000"/>
              </w:rPr>
              <w:t>文体活动</w:t>
            </w:r>
          </w:p>
        </w:tc>
        <w:tc>
          <w:tcPr>
            <w:tcW w:w="2721" w:type="dxa"/>
            <w:noWrap w:val="0"/>
            <w:vAlign w:val="center"/>
          </w:tcPr>
          <w:p>
            <w:pPr>
              <w:jc w:val="center"/>
              <w:rPr>
                <w:rFonts w:eastAsia="仿宋_GB2312" w:cs="宋体"/>
                <w:color w:val="000000"/>
                <w:sz w:val="24"/>
              </w:rPr>
            </w:pPr>
            <w:r>
              <w:rPr>
                <w:rFonts w:hint="eastAsia" w:eastAsia="仿宋_GB2312"/>
                <w:color w:val="000000"/>
              </w:rPr>
              <w:t>文艺、体育等校园文化活动</w:t>
            </w:r>
          </w:p>
        </w:tc>
        <w:tc>
          <w:tcPr>
            <w:tcW w:w="6024" w:type="dxa"/>
            <w:noWrap w:val="0"/>
            <w:vAlign w:val="center"/>
          </w:tcPr>
          <w:p>
            <w:pPr>
              <w:snapToGrid w:val="0"/>
              <w:spacing w:line="288" w:lineRule="auto"/>
              <w:jc w:val="left"/>
              <w:rPr>
                <w:rFonts w:eastAsia="仿宋_GB2312"/>
                <w:color w:val="000000"/>
                <w:sz w:val="22"/>
              </w:rPr>
            </w:pPr>
            <w:r>
              <w:rPr>
                <w:rFonts w:eastAsia="仿宋_GB2312"/>
                <w:color w:val="000000"/>
                <w:sz w:val="22"/>
              </w:rPr>
              <w:t>1.</w:t>
            </w:r>
            <w:r>
              <w:rPr>
                <w:rFonts w:hint="eastAsia" w:eastAsia="仿宋_GB2312"/>
                <w:color w:val="000000"/>
                <w:sz w:val="22"/>
              </w:rPr>
              <w:t>学生竞赛类的活动按照校、院级，</w:t>
            </w:r>
            <w:r>
              <w:rPr>
                <w:rFonts w:hint="eastAsia" w:eastAsia="仿宋_GB2312" w:cs="宋体"/>
                <w:color w:val="000000"/>
                <w:sz w:val="22"/>
              </w:rPr>
              <w:t>自治区（兵团）级，</w:t>
            </w:r>
            <w:r>
              <w:rPr>
                <w:rFonts w:hint="eastAsia" w:eastAsia="仿宋_GB2312"/>
                <w:color w:val="000000"/>
                <w:sz w:val="22"/>
              </w:rPr>
              <w:t>国家级计分标准设定学分，同一项目按最高等级记录学分，不累计加分；</w:t>
            </w:r>
          </w:p>
          <w:p>
            <w:pPr>
              <w:snapToGrid w:val="0"/>
              <w:spacing w:line="288" w:lineRule="auto"/>
              <w:jc w:val="left"/>
              <w:rPr>
                <w:rFonts w:eastAsia="仿宋_GB2312"/>
                <w:color w:val="000000"/>
                <w:sz w:val="22"/>
              </w:rPr>
            </w:pPr>
            <w:r>
              <w:rPr>
                <w:rFonts w:eastAsia="仿宋_GB2312"/>
                <w:sz w:val="22"/>
              </w:rPr>
              <w:t>2.</w:t>
            </w:r>
            <w:r>
              <w:rPr>
                <w:rFonts w:hint="eastAsia" w:eastAsia="仿宋_GB2312"/>
                <w:sz w:val="22"/>
              </w:rPr>
              <w:t>经认定的各类活动组织者、负责人</w:t>
            </w:r>
            <w:r>
              <w:rPr>
                <w:rFonts w:hint="eastAsia" w:eastAsia="仿宋_GB2312" w:cs="宋体"/>
                <w:sz w:val="22"/>
              </w:rPr>
              <w:t>（属各类学生组织职责范围内的活动，组织者或负责人不加分）</w:t>
            </w:r>
            <w:r>
              <w:rPr>
                <w:rFonts w:hint="eastAsia" w:eastAsia="仿宋_GB2312"/>
                <w:sz w:val="22"/>
              </w:rPr>
              <w:t>及参与者（演员、选手等）按次获得</w:t>
            </w:r>
            <w:r>
              <w:rPr>
                <w:rFonts w:eastAsia="仿宋_GB2312"/>
                <w:sz w:val="22"/>
              </w:rPr>
              <w:t>1</w:t>
            </w:r>
            <w:r>
              <w:rPr>
                <w:rFonts w:hint="eastAsia" w:eastAsia="仿宋_GB2312"/>
                <w:sz w:val="22"/>
              </w:rPr>
              <w:t>学分，同一活动双重身</w:t>
            </w:r>
            <w:r>
              <w:rPr>
                <w:rFonts w:hint="eastAsia" w:eastAsia="仿宋_GB2312"/>
                <w:color w:val="000000"/>
                <w:sz w:val="22"/>
              </w:rPr>
              <w:t>份不予累加；</w:t>
            </w:r>
            <w:r>
              <w:rPr>
                <w:rFonts w:hint="eastAsia" w:eastAsia="仿宋_GB2312"/>
                <w:sz w:val="22"/>
              </w:rPr>
              <w:t>观看</w:t>
            </w:r>
            <w:r>
              <w:rPr>
                <w:rFonts w:eastAsia="仿宋_GB2312"/>
                <w:sz w:val="22"/>
              </w:rPr>
              <w:t>5</w:t>
            </w:r>
            <w:r>
              <w:rPr>
                <w:rFonts w:hint="eastAsia" w:eastAsia="仿宋_GB2312"/>
                <w:sz w:val="22"/>
              </w:rPr>
              <w:t>次文体类活动方可获得</w:t>
            </w:r>
            <w:r>
              <w:rPr>
                <w:rFonts w:eastAsia="仿宋_GB2312"/>
                <w:sz w:val="22"/>
              </w:rPr>
              <w:t>1</w:t>
            </w:r>
            <w:r>
              <w:rPr>
                <w:rFonts w:hint="eastAsia" w:eastAsia="仿宋_GB2312"/>
                <w:sz w:val="22"/>
              </w:rPr>
              <w:t>学分，系统内单次观众学分可设置为</w:t>
            </w:r>
            <w:r>
              <w:rPr>
                <w:rFonts w:eastAsia="仿宋_GB2312"/>
                <w:sz w:val="22"/>
              </w:rPr>
              <w:t>0.2</w:t>
            </w:r>
            <w:r>
              <w:rPr>
                <w:rFonts w:hint="eastAsia" w:eastAsia="仿宋_GB2312"/>
                <w:sz w:val="22"/>
              </w:rPr>
              <w:t>学分；</w:t>
            </w:r>
          </w:p>
          <w:p>
            <w:pPr>
              <w:snapToGrid w:val="0"/>
              <w:spacing w:line="288" w:lineRule="auto"/>
              <w:jc w:val="left"/>
              <w:rPr>
                <w:rFonts w:eastAsia="仿宋_GB2312" w:cs="宋体"/>
                <w:sz w:val="22"/>
              </w:rPr>
            </w:pPr>
            <w:r>
              <w:rPr>
                <w:rFonts w:eastAsia="仿宋_GB2312"/>
                <w:sz w:val="22"/>
              </w:rPr>
              <w:t>3.</w:t>
            </w:r>
            <w:r>
              <w:rPr>
                <w:rFonts w:hint="eastAsia" w:eastAsia="仿宋_GB2312"/>
                <w:sz w:val="22"/>
              </w:rPr>
              <w:t>学生社团、学生会等学生组织内部成员之间开展的活动不计学分。</w:t>
            </w:r>
          </w:p>
        </w:tc>
        <w:tc>
          <w:tcPr>
            <w:tcW w:w="1584" w:type="dxa"/>
            <w:noWrap w:val="0"/>
            <w:vAlign w:val="center"/>
          </w:tcPr>
          <w:p>
            <w:pPr>
              <w:rPr>
                <w:rFonts w:eastAsia="仿宋_GB2312" w:cs="宋体"/>
                <w:color w:val="000000"/>
                <w:sz w:val="22"/>
              </w:rPr>
            </w:pPr>
            <w:r>
              <w:rPr>
                <w:rFonts w:eastAsia="仿宋_GB2312"/>
                <w:color w:val="000000"/>
                <w:sz w:val="22"/>
              </w:rPr>
              <w:t>1</w:t>
            </w:r>
          </w:p>
        </w:tc>
        <w:tc>
          <w:tcPr>
            <w:tcW w:w="1778" w:type="dxa"/>
            <w:noWrap w:val="0"/>
            <w:vAlign w:val="center"/>
          </w:tcPr>
          <w:p>
            <w:pPr>
              <w:rPr>
                <w:rFonts w:eastAsia="仿宋_GB2312" w:cs="宋体"/>
                <w:sz w:val="22"/>
              </w:rPr>
            </w:pPr>
            <w:r>
              <w:rPr>
                <w:rFonts w:hint="eastAsia" w:eastAsia="仿宋_GB2312"/>
                <w:sz w:val="22"/>
              </w:rPr>
              <w:t>逐级递增</w:t>
            </w:r>
            <w:r>
              <w:rPr>
                <w:rFonts w:eastAsia="仿宋_GB2312"/>
                <w:sz w:val="22"/>
              </w:rPr>
              <w:t>0.5</w:t>
            </w:r>
            <w:r>
              <w:rPr>
                <w:rFonts w:hint="eastAsia" w:eastAsia="仿宋_GB2312"/>
                <w:sz w:val="22"/>
              </w:rPr>
              <w:t>学分，即</w:t>
            </w:r>
            <w:r>
              <w:rPr>
                <w:rFonts w:hint="eastAsia" w:eastAsia="仿宋_GB2312" w:cs="宋体"/>
                <w:sz w:val="22"/>
              </w:rPr>
              <w:t>自治区（兵团）级</w:t>
            </w:r>
            <w:r>
              <w:rPr>
                <w:rFonts w:hint="eastAsia" w:eastAsia="仿宋_GB2312"/>
                <w:sz w:val="22"/>
              </w:rPr>
              <w:t>活动</w:t>
            </w:r>
            <w:r>
              <w:rPr>
                <w:rFonts w:eastAsia="仿宋_GB2312"/>
                <w:sz w:val="22"/>
              </w:rPr>
              <w:t>1.5</w:t>
            </w:r>
            <w:r>
              <w:rPr>
                <w:rFonts w:hint="eastAsia" w:eastAsia="仿宋_GB2312"/>
                <w:sz w:val="22"/>
              </w:rPr>
              <w:t>分，国家级</w:t>
            </w:r>
            <w:r>
              <w:rPr>
                <w:rFonts w:eastAsia="仿宋_GB2312"/>
                <w:sz w:val="22"/>
              </w:rPr>
              <w:t>2</w:t>
            </w:r>
            <w:r>
              <w:rPr>
                <w:rFonts w:hint="eastAsia" w:eastAsia="仿宋_GB2312"/>
                <w:sz w:val="22"/>
              </w:rPr>
              <w:t>分</w:t>
            </w:r>
          </w:p>
        </w:tc>
      </w:tr>
    </w:tbl>
    <w:p>
      <w:r>
        <w:br w:type="page"/>
      </w:r>
    </w:p>
    <w:tbl>
      <w:tblPr>
        <w:tblStyle w:val="4"/>
        <w:tblW w:w="13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722"/>
        <w:gridCol w:w="6027"/>
        <w:gridCol w:w="3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8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color w:val="000000"/>
              </w:rPr>
            </w:pPr>
            <w:r>
              <w:rPr>
                <w:rFonts w:hint="eastAsia" w:eastAsia="仿宋_GB2312"/>
                <w:b/>
                <w:color w:val="000000"/>
              </w:rPr>
              <w:t>课程分类</w:t>
            </w:r>
          </w:p>
        </w:tc>
        <w:tc>
          <w:tcPr>
            <w:tcW w:w="272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rPr>
            </w:pPr>
            <w:r>
              <w:rPr>
                <w:rFonts w:hint="eastAsia" w:eastAsia="仿宋_GB2312"/>
                <w:b/>
              </w:rPr>
              <w:t>二级分类</w:t>
            </w:r>
          </w:p>
        </w:tc>
        <w:tc>
          <w:tcPr>
            <w:tcW w:w="60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2"/>
              </w:rPr>
            </w:pPr>
            <w:r>
              <w:rPr>
                <w:rFonts w:hint="eastAsia" w:eastAsia="仿宋_GB2312"/>
                <w:b/>
                <w:sz w:val="22"/>
              </w:rPr>
              <w:t>标准</w:t>
            </w:r>
          </w:p>
        </w:tc>
        <w:tc>
          <w:tcPr>
            <w:tcW w:w="336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s="宋体"/>
                <w:b/>
                <w:sz w:val="22"/>
              </w:rPr>
            </w:pPr>
            <w:r>
              <w:rPr>
                <w:rFonts w:hint="eastAsia" w:eastAsia="仿宋_GB2312" w:cs="宋体"/>
                <w:b/>
                <w:sz w:val="22"/>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86" w:type="dxa"/>
            <w:vMerge w:val="restart"/>
            <w:noWrap w:val="0"/>
            <w:vAlign w:val="center"/>
          </w:tcPr>
          <w:p>
            <w:pPr>
              <w:jc w:val="center"/>
              <w:rPr>
                <w:rFonts w:eastAsia="仿宋_GB2312" w:cs="宋体"/>
                <w:b/>
                <w:color w:val="000000"/>
                <w:sz w:val="24"/>
              </w:rPr>
            </w:pPr>
            <w:r>
              <w:rPr>
                <w:rFonts w:hint="eastAsia" w:eastAsia="仿宋_GB2312"/>
                <w:b/>
                <w:color w:val="000000"/>
              </w:rPr>
              <w:t>技能特长</w:t>
            </w:r>
          </w:p>
        </w:tc>
        <w:tc>
          <w:tcPr>
            <w:tcW w:w="2722" w:type="dxa"/>
            <w:noWrap w:val="0"/>
            <w:vAlign w:val="center"/>
          </w:tcPr>
          <w:p>
            <w:pPr>
              <w:jc w:val="center"/>
              <w:rPr>
                <w:rFonts w:eastAsia="仿宋_GB2312"/>
              </w:rPr>
            </w:pPr>
            <w:r>
              <w:rPr>
                <w:rFonts w:hint="eastAsia" w:eastAsia="仿宋_GB2312"/>
              </w:rPr>
              <w:t>英语</w:t>
            </w:r>
          </w:p>
        </w:tc>
        <w:tc>
          <w:tcPr>
            <w:tcW w:w="6027" w:type="dxa"/>
            <w:vMerge w:val="restart"/>
            <w:noWrap w:val="0"/>
            <w:vAlign w:val="center"/>
          </w:tcPr>
          <w:p>
            <w:pPr>
              <w:jc w:val="left"/>
              <w:rPr>
                <w:rFonts w:eastAsia="仿宋_GB2312"/>
                <w:sz w:val="22"/>
              </w:rPr>
            </w:pPr>
            <w:r>
              <w:rPr>
                <w:rFonts w:hint="eastAsia" w:eastAsia="仿宋_GB2312"/>
                <w:sz w:val="22"/>
              </w:rPr>
              <w:t>参加各类技能培训的经历，获得专利及公开发表的论文等，获得英语、汉语（</w:t>
            </w:r>
            <w:r>
              <w:rPr>
                <w:rFonts w:eastAsia="仿宋_GB2312"/>
                <w:sz w:val="22"/>
              </w:rPr>
              <w:t>HSK</w:t>
            </w:r>
            <w:r>
              <w:rPr>
                <w:rFonts w:hint="eastAsia" w:eastAsia="仿宋_GB2312"/>
                <w:sz w:val="22"/>
              </w:rPr>
              <w:t>）、计算机以及相关能力证书，给予相应学分认定。</w:t>
            </w:r>
          </w:p>
        </w:tc>
        <w:tc>
          <w:tcPr>
            <w:tcW w:w="3363" w:type="dxa"/>
            <w:vMerge w:val="restart"/>
            <w:noWrap w:val="0"/>
            <w:vAlign w:val="center"/>
          </w:tcPr>
          <w:p>
            <w:pPr>
              <w:rPr>
                <w:rFonts w:eastAsia="仿宋_GB2312" w:cs="宋体"/>
                <w:sz w:val="22"/>
              </w:rPr>
            </w:pPr>
            <w:r>
              <w:rPr>
                <w:rFonts w:eastAsia="仿宋_GB2312" w:cs="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86" w:type="dxa"/>
            <w:vMerge w:val="continue"/>
            <w:noWrap w:val="0"/>
            <w:vAlign w:val="center"/>
          </w:tcPr>
          <w:p>
            <w:pPr>
              <w:rPr>
                <w:rFonts w:eastAsia="仿宋_GB2312" w:cs="宋体"/>
                <w:b/>
                <w:color w:val="000000"/>
                <w:sz w:val="24"/>
              </w:rPr>
            </w:pPr>
          </w:p>
        </w:tc>
        <w:tc>
          <w:tcPr>
            <w:tcW w:w="2722" w:type="dxa"/>
            <w:noWrap w:val="0"/>
            <w:vAlign w:val="center"/>
          </w:tcPr>
          <w:p>
            <w:pPr>
              <w:jc w:val="center"/>
              <w:rPr>
                <w:rFonts w:eastAsia="仿宋_GB2312"/>
              </w:rPr>
            </w:pPr>
            <w:r>
              <w:rPr>
                <w:rFonts w:hint="eastAsia" w:eastAsia="仿宋_GB2312"/>
              </w:rPr>
              <w:t>汉语（</w:t>
            </w:r>
            <w:r>
              <w:rPr>
                <w:rFonts w:eastAsia="仿宋_GB2312"/>
              </w:rPr>
              <w:t>HSK</w:t>
            </w:r>
            <w:r>
              <w:rPr>
                <w:rFonts w:hint="eastAsia" w:eastAsia="仿宋_GB2312"/>
              </w:rPr>
              <w:t>）</w:t>
            </w:r>
          </w:p>
        </w:tc>
        <w:tc>
          <w:tcPr>
            <w:tcW w:w="6027" w:type="dxa"/>
            <w:vMerge w:val="continue"/>
            <w:noWrap w:val="0"/>
            <w:vAlign w:val="center"/>
          </w:tcPr>
          <w:p>
            <w:pPr>
              <w:rPr>
                <w:rFonts w:eastAsia="仿宋_GB2312" w:cs="宋体"/>
                <w:color w:val="000000"/>
                <w:sz w:val="22"/>
              </w:rPr>
            </w:pPr>
          </w:p>
        </w:tc>
        <w:tc>
          <w:tcPr>
            <w:tcW w:w="3363" w:type="dxa"/>
            <w:vMerge w:val="continue"/>
            <w:noWrap w:val="0"/>
            <w:vAlign w:val="center"/>
          </w:tcPr>
          <w:p>
            <w:pPr>
              <w:rPr>
                <w:rFonts w:eastAsia="仿宋_GB2312"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86" w:type="dxa"/>
            <w:vMerge w:val="continue"/>
            <w:noWrap w:val="0"/>
            <w:vAlign w:val="center"/>
          </w:tcPr>
          <w:p>
            <w:pPr>
              <w:rPr>
                <w:rFonts w:eastAsia="仿宋_GB2312" w:cs="宋体"/>
                <w:b/>
                <w:color w:val="000000"/>
                <w:sz w:val="24"/>
              </w:rPr>
            </w:pPr>
          </w:p>
        </w:tc>
        <w:tc>
          <w:tcPr>
            <w:tcW w:w="2722" w:type="dxa"/>
            <w:noWrap w:val="0"/>
            <w:vAlign w:val="center"/>
          </w:tcPr>
          <w:p>
            <w:pPr>
              <w:jc w:val="center"/>
              <w:rPr>
                <w:rFonts w:eastAsia="仿宋_GB2312"/>
              </w:rPr>
            </w:pPr>
            <w:r>
              <w:rPr>
                <w:rFonts w:hint="eastAsia" w:eastAsia="仿宋_GB2312"/>
              </w:rPr>
              <w:t>计算机</w:t>
            </w:r>
          </w:p>
        </w:tc>
        <w:tc>
          <w:tcPr>
            <w:tcW w:w="6027" w:type="dxa"/>
            <w:vMerge w:val="continue"/>
            <w:noWrap w:val="0"/>
            <w:vAlign w:val="center"/>
          </w:tcPr>
          <w:p>
            <w:pPr>
              <w:rPr>
                <w:rFonts w:eastAsia="仿宋_GB2312" w:cs="宋体"/>
                <w:color w:val="000000"/>
                <w:sz w:val="22"/>
              </w:rPr>
            </w:pPr>
          </w:p>
        </w:tc>
        <w:tc>
          <w:tcPr>
            <w:tcW w:w="3363" w:type="dxa"/>
            <w:vMerge w:val="continue"/>
            <w:noWrap w:val="0"/>
            <w:vAlign w:val="center"/>
          </w:tcPr>
          <w:p>
            <w:pPr>
              <w:rPr>
                <w:rFonts w:eastAsia="仿宋_GB2312"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86" w:type="dxa"/>
            <w:vMerge w:val="continue"/>
            <w:noWrap w:val="0"/>
            <w:vAlign w:val="center"/>
          </w:tcPr>
          <w:p>
            <w:pPr>
              <w:rPr>
                <w:rFonts w:eastAsia="仿宋_GB2312" w:cs="宋体"/>
                <w:b/>
                <w:color w:val="000000"/>
                <w:sz w:val="24"/>
              </w:rPr>
            </w:pPr>
          </w:p>
        </w:tc>
        <w:tc>
          <w:tcPr>
            <w:tcW w:w="2722" w:type="dxa"/>
            <w:noWrap w:val="0"/>
            <w:vAlign w:val="center"/>
          </w:tcPr>
          <w:p>
            <w:pPr>
              <w:jc w:val="center"/>
              <w:rPr>
                <w:rFonts w:eastAsia="仿宋_GB2312"/>
              </w:rPr>
            </w:pPr>
            <w:r>
              <w:rPr>
                <w:rFonts w:hint="eastAsia" w:eastAsia="仿宋_GB2312"/>
              </w:rPr>
              <w:t>相关能力证书</w:t>
            </w:r>
          </w:p>
        </w:tc>
        <w:tc>
          <w:tcPr>
            <w:tcW w:w="6027" w:type="dxa"/>
            <w:vMerge w:val="continue"/>
            <w:noWrap w:val="0"/>
            <w:vAlign w:val="center"/>
          </w:tcPr>
          <w:p>
            <w:pPr>
              <w:rPr>
                <w:rFonts w:eastAsia="仿宋_GB2312" w:cs="宋体"/>
                <w:color w:val="000000"/>
                <w:sz w:val="22"/>
              </w:rPr>
            </w:pPr>
          </w:p>
        </w:tc>
        <w:tc>
          <w:tcPr>
            <w:tcW w:w="3363" w:type="dxa"/>
            <w:vMerge w:val="continue"/>
            <w:noWrap w:val="0"/>
            <w:vAlign w:val="center"/>
          </w:tcPr>
          <w:p>
            <w:pPr>
              <w:rPr>
                <w:rFonts w:eastAsia="仿宋_GB2312"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86" w:type="dxa"/>
            <w:vMerge w:val="continue"/>
            <w:noWrap w:val="0"/>
            <w:vAlign w:val="center"/>
          </w:tcPr>
          <w:p>
            <w:pPr>
              <w:rPr>
                <w:rFonts w:eastAsia="仿宋_GB2312" w:cs="宋体"/>
                <w:b/>
                <w:color w:val="000000"/>
                <w:sz w:val="24"/>
              </w:rPr>
            </w:pPr>
          </w:p>
        </w:tc>
        <w:tc>
          <w:tcPr>
            <w:tcW w:w="2722" w:type="dxa"/>
            <w:noWrap w:val="0"/>
            <w:vAlign w:val="center"/>
          </w:tcPr>
          <w:p>
            <w:pPr>
              <w:jc w:val="center"/>
              <w:rPr>
                <w:rFonts w:eastAsia="仿宋_GB2312"/>
              </w:rPr>
            </w:pPr>
            <w:r>
              <w:rPr>
                <w:rFonts w:hint="eastAsia" w:eastAsia="仿宋_GB2312"/>
              </w:rPr>
              <w:t>参加各类技能培训的经历</w:t>
            </w:r>
          </w:p>
        </w:tc>
        <w:tc>
          <w:tcPr>
            <w:tcW w:w="6027" w:type="dxa"/>
            <w:vMerge w:val="continue"/>
            <w:noWrap w:val="0"/>
            <w:vAlign w:val="center"/>
          </w:tcPr>
          <w:p>
            <w:pPr>
              <w:rPr>
                <w:rFonts w:eastAsia="仿宋_GB2312" w:cs="宋体"/>
                <w:color w:val="000000"/>
                <w:sz w:val="22"/>
              </w:rPr>
            </w:pPr>
          </w:p>
        </w:tc>
        <w:tc>
          <w:tcPr>
            <w:tcW w:w="3363" w:type="dxa"/>
            <w:vMerge w:val="continue"/>
            <w:noWrap w:val="0"/>
            <w:vAlign w:val="center"/>
          </w:tcPr>
          <w:p>
            <w:pPr>
              <w:rPr>
                <w:rFonts w:eastAsia="仿宋_GB2312"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86" w:type="dxa"/>
            <w:vMerge w:val="continue"/>
            <w:noWrap w:val="0"/>
            <w:vAlign w:val="center"/>
          </w:tcPr>
          <w:p>
            <w:pPr>
              <w:rPr>
                <w:rFonts w:eastAsia="仿宋_GB2312" w:cs="宋体"/>
                <w:b/>
                <w:color w:val="000000"/>
                <w:sz w:val="24"/>
              </w:rPr>
            </w:pPr>
          </w:p>
        </w:tc>
        <w:tc>
          <w:tcPr>
            <w:tcW w:w="2722" w:type="dxa"/>
            <w:noWrap w:val="0"/>
            <w:vAlign w:val="center"/>
          </w:tcPr>
          <w:p>
            <w:pPr>
              <w:jc w:val="center"/>
              <w:rPr>
                <w:rFonts w:eastAsia="仿宋_GB2312"/>
              </w:rPr>
            </w:pPr>
            <w:r>
              <w:rPr>
                <w:rFonts w:hint="eastAsia" w:eastAsia="仿宋_GB2312"/>
              </w:rPr>
              <w:t>获得专利</w:t>
            </w:r>
          </w:p>
        </w:tc>
        <w:tc>
          <w:tcPr>
            <w:tcW w:w="6027" w:type="dxa"/>
            <w:vMerge w:val="continue"/>
            <w:noWrap w:val="0"/>
            <w:vAlign w:val="center"/>
          </w:tcPr>
          <w:p>
            <w:pPr>
              <w:rPr>
                <w:rFonts w:eastAsia="仿宋_GB2312" w:cs="宋体"/>
                <w:color w:val="000000"/>
                <w:sz w:val="22"/>
              </w:rPr>
            </w:pPr>
          </w:p>
        </w:tc>
        <w:tc>
          <w:tcPr>
            <w:tcW w:w="3363" w:type="dxa"/>
            <w:vMerge w:val="continue"/>
            <w:noWrap w:val="0"/>
            <w:vAlign w:val="center"/>
          </w:tcPr>
          <w:p>
            <w:pPr>
              <w:rPr>
                <w:rFonts w:eastAsia="仿宋_GB2312"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86" w:type="dxa"/>
            <w:vMerge w:val="continue"/>
            <w:tcBorders>
              <w:bottom w:val="single" w:color="auto" w:sz="4" w:space="0"/>
            </w:tcBorders>
            <w:noWrap w:val="0"/>
            <w:vAlign w:val="center"/>
          </w:tcPr>
          <w:p>
            <w:pPr>
              <w:rPr>
                <w:rFonts w:eastAsia="仿宋_GB2312" w:cs="宋体"/>
                <w:b/>
                <w:color w:val="000000"/>
                <w:sz w:val="24"/>
              </w:rPr>
            </w:pPr>
          </w:p>
        </w:tc>
        <w:tc>
          <w:tcPr>
            <w:tcW w:w="2722" w:type="dxa"/>
            <w:tcBorders>
              <w:bottom w:val="single" w:color="auto" w:sz="4" w:space="0"/>
            </w:tcBorders>
            <w:noWrap w:val="0"/>
            <w:vAlign w:val="center"/>
          </w:tcPr>
          <w:p>
            <w:pPr>
              <w:jc w:val="center"/>
              <w:rPr>
                <w:rFonts w:eastAsia="仿宋_GB2312"/>
              </w:rPr>
            </w:pPr>
            <w:r>
              <w:rPr>
                <w:rFonts w:hint="eastAsia" w:eastAsia="仿宋_GB2312"/>
              </w:rPr>
              <w:t>公开发表的论文</w:t>
            </w:r>
          </w:p>
        </w:tc>
        <w:tc>
          <w:tcPr>
            <w:tcW w:w="6027" w:type="dxa"/>
            <w:vMerge w:val="continue"/>
            <w:tcBorders>
              <w:bottom w:val="single" w:color="auto" w:sz="4" w:space="0"/>
            </w:tcBorders>
            <w:noWrap w:val="0"/>
            <w:vAlign w:val="center"/>
          </w:tcPr>
          <w:p>
            <w:pPr>
              <w:rPr>
                <w:rFonts w:eastAsia="仿宋_GB2312" w:cs="宋体"/>
                <w:color w:val="000000"/>
                <w:sz w:val="22"/>
              </w:rPr>
            </w:pPr>
          </w:p>
        </w:tc>
        <w:tc>
          <w:tcPr>
            <w:tcW w:w="3363" w:type="dxa"/>
            <w:vMerge w:val="continue"/>
            <w:tcBorders>
              <w:bottom w:val="single" w:color="auto" w:sz="4" w:space="0"/>
            </w:tcBorders>
            <w:noWrap w:val="0"/>
            <w:vAlign w:val="center"/>
          </w:tcPr>
          <w:p>
            <w:pPr>
              <w:rPr>
                <w:rFonts w:eastAsia="仿宋_GB2312"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998" w:type="dxa"/>
            <w:gridSpan w:val="4"/>
            <w:tcBorders>
              <w:top w:val="single" w:color="auto" w:sz="4" w:space="0"/>
              <w:left w:val="nil"/>
              <w:bottom w:val="nil"/>
              <w:right w:val="nil"/>
            </w:tcBorders>
            <w:noWrap w:val="0"/>
            <w:vAlign w:val="top"/>
          </w:tcPr>
          <w:p>
            <w:pPr>
              <w:adjustRightInd w:val="0"/>
              <w:snapToGrid w:val="0"/>
              <w:spacing w:line="400" w:lineRule="exact"/>
              <w:rPr>
                <w:rFonts w:eastAsia="仿宋_GB2312" w:cs="宋体"/>
                <w:color w:val="000000"/>
                <w:sz w:val="18"/>
                <w:szCs w:val="18"/>
              </w:rPr>
            </w:pPr>
            <w:r>
              <w:rPr>
                <w:rFonts w:hint="eastAsia" w:eastAsia="仿宋_GB2312"/>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998" w:type="dxa"/>
            <w:gridSpan w:val="4"/>
            <w:tcBorders>
              <w:top w:val="nil"/>
              <w:left w:val="nil"/>
              <w:bottom w:val="nil"/>
              <w:right w:val="nil"/>
            </w:tcBorders>
            <w:noWrap w:val="0"/>
            <w:vAlign w:val="top"/>
          </w:tcPr>
          <w:p>
            <w:pPr>
              <w:adjustRightInd w:val="0"/>
              <w:snapToGrid w:val="0"/>
              <w:spacing w:line="400" w:lineRule="exact"/>
              <w:rPr>
                <w:rFonts w:eastAsia="仿宋_GB2312" w:cs="宋体"/>
                <w:color w:val="000000"/>
                <w:sz w:val="18"/>
                <w:szCs w:val="18"/>
              </w:rPr>
            </w:pPr>
            <w:r>
              <w:rPr>
                <w:rFonts w:eastAsia="仿宋_GB2312"/>
                <w:color w:val="000000"/>
                <w:sz w:val="18"/>
                <w:szCs w:val="18"/>
              </w:rPr>
              <w:t>1.</w:t>
            </w:r>
            <w:r>
              <w:rPr>
                <w:rFonts w:hint="eastAsia" w:eastAsia="仿宋_GB2312"/>
                <w:color w:val="000000"/>
                <w:sz w:val="18"/>
                <w:szCs w:val="18"/>
              </w:rPr>
              <w:t>每年</w:t>
            </w:r>
            <w:r>
              <w:rPr>
                <w:rFonts w:eastAsia="仿宋_GB2312"/>
                <w:color w:val="000000"/>
                <w:sz w:val="18"/>
                <w:szCs w:val="18"/>
              </w:rPr>
              <w:t>6</w:t>
            </w:r>
            <w:r>
              <w:rPr>
                <w:rFonts w:hint="eastAsia" w:eastAsia="仿宋_GB2312"/>
                <w:color w:val="000000"/>
                <w:sz w:val="18"/>
                <w:szCs w:val="18"/>
              </w:rPr>
              <w:t>月、</w:t>
            </w:r>
            <w:r>
              <w:rPr>
                <w:rFonts w:eastAsia="仿宋_GB2312"/>
                <w:color w:val="000000"/>
                <w:sz w:val="18"/>
                <w:szCs w:val="18"/>
              </w:rPr>
              <w:t>12</w:t>
            </w:r>
            <w:r>
              <w:rPr>
                <w:rFonts w:hint="eastAsia" w:eastAsia="仿宋_GB2312"/>
                <w:color w:val="000000"/>
                <w:sz w:val="18"/>
                <w:szCs w:val="18"/>
              </w:rPr>
              <w:t>月由课程负责人提交开课申请，校团委最终审核通过，方可系统内查询到相应课程；学期中有临时课程，应于开课前</w:t>
            </w:r>
            <w:r>
              <w:rPr>
                <w:rFonts w:eastAsia="仿宋_GB2312"/>
                <w:color w:val="000000"/>
                <w:sz w:val="18"/>
                <w:szCs w:val="18"/>
              </w:rPr>
              <w:t>1</w:t>
            </w:r>
            <w:r>
              <w:rPr>
                <w:rFonts w:hint="eastAsia" w:eastAsia="仿宋_GB2312"/>
                <w:color w:val="000000"/>
                <w:sz w:val="18"/>
                <w:szCs w:val="18"/>
              </w:rPr>
              <w:t>周提交开课申请。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998" w:type="dxa"/>
            <w:gridSpan w:val="4"/>
            <w:tcBorders>
              <w:top w:val="nil"/>
              <w:left w:val="nil"/>
              <w:bottom w:val="nil"/>
              <w:right w:val="nil"/>
            </w:tcBorders>
            <w:noWrap w:val="0"/>
            <w:vAlign w:val="top"/>
          </w:tcPr>
          <w:p>
            <w:pPr>
              <w:adjustRightInd w:val="0"/>
              <w:snapToGrid w:val="0"/>
              <w:spacing w:line="400" w:lineRule="exact"/>
              <w:rPr>
                <w:rFonts w:eastAsia="仿宋_GB2312"/>
                <w:color w:val="000000"/>
                <w:sz w:val="18"/>
                <w:szCs w:val="18"/>
              </w:rPr>
            </w:pPr>
            <w:r>
              <w:rPr>
                <w:rFonts w:eastAsia="仿宋_GB2312"/>
                <w:color w:val="000000"/>
                <w:sz w:val="18"/>
                <w:szCs w:val="18"/>
              </w:rPr>
              <w:t>2.</w:t>
            </w:r>
            <w:r>
              <w:rPr>
                <w:rFonts w:hint="eastAsia" w:eastAsia="仿宋_GB2312"/>
                <w:color w:val="000000"/>
                <w:sz w:val="18"/>
                <w:szCs w:val="18"/>
              </w:rPr>
              <w:t>凡第一课堂已经认定学分的课程，第二课堂将不予重复认定，例如专业实习、创新创业教育活动等课程。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998" w:type="dxa"/>
            <w:gridSpan w:val="4"/>
            <w:tcBorders>
              <w:top w:val="nil"/>
              <w:left w:val="nil"/>
              <w:bottom w:val="nil"/>
              <w:right w:val="nil"/>
            </w:tcBorders>
            <w:noWrap w:val="0"/>
            <w:vAlign w:val="top"/>
          </w:tcPr>
          <w:p>
            <w:pPr>
              <w:adjustRightInd w:val="0"/>
              <w:snapToGrid w:val="0"/>
              <w:spacing w:line="400" w:lineRule="exact"/>
              <w:rPr>
                <w:rFonts w:eastAsia="仿宋_GB2312"/>
                <w:color w:val="000000"/>
                <w:sz w:val="18"/>
                <w:szCs w:val="18"/>
              </w:rPr>
            </w:pPr>
            <w:r>
              <w:rPr>
                <w:rFonts w:eastAsia="仿宋_GB2312"/>
                <w:color w:val="000000"/>
                <w:sz w:val="18"/>
                <w:szCs w:val="18"/>
              </w:rPr>
              <w:t>3.</w:t>
            </w:r>
            <w:r>
              <w:rPr>
                <w:rFonts w:hint="eastAsia" w:eastAsia="仿宋_GB2312"/>
                <w:color w:val="000000"/>
                <w:sz w:val="18"/>
                <w:szCs w:val="18"/>
              </w:rPr>
              <w:t>学生参加一次活动是指学生根据课程安排，选课参与活动，并完成课程要求考核指标；中途退出者不计学分。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998" w:type="dxa"/>
            <w:gridSpan w:val="4"/>
            <w:tcBorders>
              <w:top w:val="nil"/>
              <w:left w:val="nil"/>
              <w:bottom w:val="nil"/>
              <w:right w:val="nil"/>
            </w:tcBorders>
            <w:noWrap w:val="0"/>
            <w:vAlign w:val="top"/>
          </w:tcPr>
          <w:p>
            <w:pPr>
              <w:adjustRightInd w:val="0"/>
              <w:snapToGrid w:val="0"/>
              <w:spacing w:line="400" w:lineRule="exact"/>
              <w:rPr>
                <w:rFonts w:eastAsia="仿宋_GB2312"/>
                <w:sz w:val="18"/>
                <w:szCs w:val="18"/>
              </w:rPr>
            </w:pPr>
            <w:r>
              <w:rPr>
                <w:rFonts w:eastAsia="仿宋_GB2312"/>
                <w:color w:val="000000"/>
                <w:sz w:val="18"/>
                <w:szCs w:val="18"/>
              </w:rPr>
              <w:t>4.</w:t>
            </w:r>
            <w:r>
              <w:rPr>
                <w:rFonts w:hint="eastAsia" w:eastAsia="仿宋_GB2312"/>
                <w:sz w:val="18"/>
                <w:szCs w:val="18"/>
              </w:rPr>
              <w:t>各级各类获奖学分：个人奖项，以</w:t>
            </w:r>
            <w:r>
              <w:rPr>
                <w:rFonts w:eastAsia="仿宋_GB2312"/>
                <w:sz w:val="18"/>
                <w:szCs w:val="18"/>
              </w:rPr>
              <w:t>1</w:t>
            </w:r>
            <w:r>
              <w:rPr>
                <w:rFonts w:hint="eastAsia" w:eastAsia="仿宋_GB2312"/>
                <w:sz w:val="18"/>
                <w:szCs w:val="18"/>
              </w:rPr>
              <w:t>学分为基础，逐级递增（校、院级</w:t>
            </w:r>
            <w:r>
              <w:rPr>
                <w:rFonts w:eastAsia="仿宋_GB2312"/>
                <w:sz w:val="18"/>
                <w:szCs w:val="18"/>
              </w:rPr>
              <w:t>1</w:t>
            </w:r>
            <w:r>
              <w:rPr>
                <w:rFonts w:hint="eastAsia" w:eastAsia="仿宋_GB2312"/>
                <w:sz w:val="18"/>
                <w:szCs w:val="18"/>
              </w:rPr>
              <w:t>分、</w:t>
            </w:r>
            <w:r>
              <w:rPr>
                <w:rFonts w:hint="eastAsia" w:eastAsia="仿宋_GB2312" w:cs="宋体"/>
                <w:sz w:val="18"/>
                <w:szCs w:val="18"/>
              </w:rPr>
              <w:t>自治区（兵团）级</w:t>
            </w:r>
            <w:r>
              <w:rPr>
                <w:rFonts w:eastAsia="仿宋_GB2312"/>
                <w:sz w:val="18"/>
                <w:szCs w:val="18"/>
              </w:rPr>
              <w:t>1.5</w:t>
            </w:r>
            <w:r>
              <w:rPr>
                <w:rFonts w:hint="eastAsia" w:eastAsia="仿宋_GB2312"/>
                <w:sz w:val="18"/>
                <w:szCs w:val="18"/>
              </w:rPr>
              <w:t>分，国家级</w:t>
            </w:r>
            <w:r>
              <w:rPr>
                <w:rFonts w:eastAsia="仿宋_GB2312"/>
                <w:sz w:val="18"/>
                <w:szCs w:val="18"/>
              </w:rPr>
              <w:t>2</w:t>
            </w:r>
            <w:r>
              <w:rPr>
                <w:rFonts w:hint="eastAsia" w:eastAsia="仿宋_GB2312"/>
                <w:sz w:val="18"/>
                <w:szCs w:val="18"/>
              </w:rPr>
              <w:t>分）；集体奖项，按照</w:t>
            </w:r>
            <w:r>
              <w:rPr>
                <w:rFonts w:hint="eastAsia" w:eastAsia="仿宋_GB2312" w:cs="宋体"/>
                <w:sz w:val="18"/>
                <w:szCs w:val="18"/>
              </w:rPr>
              <w:t>团队成员：主要负责人（校、院级</w:t>
            </w:r>
            <w:r>
              <w:rPr>
                <w:rFonts w:eastAsia="仿宋_GB2312" w:cs="宋体"/>
                <w:sz w:val="18"/>
                <w:szCs w:val="18"/>
              </w:rPr>
              <w:t>1.5</w:t>
            </w:r>
            <w:r>
              <w:rPr>
                <w:rFonts w:hint="eastAsia" w:eastAsia="仿宋_GB2312" w:cs="宋体"/>
                <w:sz w:val="18"/>
                <w:szCs w:val="18"/>
              </w:rPr>
              <w:t>分）、参与人员（校、院级</w:t>
            </w:r>
            <w:r>
              <w:rPr>
                <w:rFonts w:eastAsia="仿宋_GB2312" w:cs="宋体"/>
                <w:sz w:val="18"/>
                <w:szCs w:val="18"/>
              </w:rPr>
              <w:t>1</w:t>
            </w:r>
            <w:r>
              <w:rPr>
                <w:rFonts w:hint="eastAsia" w:eastAsia="仿宋_GB2312" w:cs="宋体"/>
                <w:sz w:val="18"/>
                <w:szCs w:val="18"/>
              </w:rPr>
              <w:t>分）；由团队共同完成，不分主次，则均以参与人员学分记录；</w:t>
            </w:r>
            <w:r>
              <w:rPr>
                <w:rFonts w:hint="eastAsia" w:eastAsia="仿宋_GB2312"/>
                <w:sz w:val="18"/>
                <w:szCs w:val="18"/>
              </w:rPr>
              <w:t>凡由学校有关部门、学院举办的各类比赛或组织参与的</w:t>
            </w:r>
            <w:r>
              <w:rPr>
                <w:rFonts w:hint="eastAsia" w:eastAsia="仿宋_GB2312" w:cs="宋体"/>
                <w:sz w:val="18"/>
                <w:szCs w:val="18"/>
              </w:rPr>
              <w:t>自治区（兵团）级</w:t>
            </w:r>
            <w:r>
              <w:rPr>
                <w:rFonts w:hint="eastAsia" w:eastAsia="仿宋_GB2312"/>
                <w:sz w:val="18"/>
                <w:szCs w:val="18"/>
              </w:rPr>
              <w:t>、国家级比赛等，由相关单位对获奖学生进行学分认定。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998" w:type="dxa"/>
            <w:gridSpan w:val="4"/>
            <w:tcBorders>
              <w:top w:val="nil"/>
              <w:left w:val="nil"/>
              <w:bottom w:val="nil"/>
              <w:right w:val="nil"/>
            </w:tcBorders>
            <w:noWrap w:val="0"/>
            <w:vAlign w:val="top"/>
          </w:tcPr>
          <w:p>
            <w:pPr>
              <w:adjustRightInd w:val="0"/>
              <w:snapToGrid w:val="0"/>
              <w:spacing w:line="400" w:lineRule="exact"/>
              <w:rPr>
                <w:rFonts w:eastAsia="仿宋_GB2312" w:cs="宋体"/>
                <w:color w:val="000000"/>
                <w:sz w:val="18"/>
                <w:szCs w:val="18"/>
              </w:rPr>
            </w:pPr>
            <w:r>
              <w:rPr>
                <w:rFonts w:eastAsia="仿宋_GB2312"/>
                <w:color w:val="000000"/>
                <w:sz w:val="18"/>
                <w:szCs w:val="18"/>
              </w:rPr>
              <w:t>5.</w:t>
            </w:r>
            <w:r>
              <w:rPr>
                <w:rFonts w:hint="eastAsia" w:eastAsia="仿宋_GB2312"/>
                <w:color w:val="000000"/>
                <w:sz w:val="18"/>
                <w:szCs w:val="18"/>
              </w:rPr>
              <w:t>凡自主参与各级各类技能考试取得技能证书或自主参与各级各类学校认可的正式比赛获得荣誉者，可凭证书向学院团委提出学分认定申请。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998" w:type="dxa"/>
            <w:gridSpan w:val="4"/>
            <w:tcBorders>
              <w:top w:val="nil"/>
              <w:left w:val="nil"/>
              <w:bottom w:val="nil"/>
              <w:right w:val="nil"/>
            </w:tcBorders>
            <w:noWrap w:val="0"/>
            <w:vAlign w:val="top"/>
          </w:tcPr>
          <w:p>
            <w:pPr>
              <w:adjustRightInd w:val="0"/>
              <w:snapToGrid w:val="0"/>
              <w:spacing w:line="400" w:lineRule="exact"/>
              <w:rPr>
                <w:rFonts w:eastAsia="仿宋_GB2312"/>
                <w:sz w:val="18"/>
                <w:szCs w:val="18"/>
              </w:rPr>
            </w:pPr>
            <w:r>
              <w:rPr>
                <w:rFonts w:eastAsia="仿宋_GB2312"/>
                <w:sz w:val="18"/>
                <w:szCs w:val="18"/>
              </w:rPr>
              <w:t>6.</w:t>
            </w:r>
            <w:r>
              <w:rPr>
                <w:rFonts w:hint="eastAsia" w:eastAsia="仿宋_GB2312"/>
                <w:sz w:val="18"/>
                <w:szCs w:val="18"/>
              </w:rPr>
              <w:t>以上各类活动凡属于各类学生组织职责范围内的工作内容，活动组织者或负责人不加分。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998" w:type="dxa"/>
            <w:gridSpan w:val="4"/>
            <w:tcBorders>
              <w:top w:val="nil"/>
              <w:left w:val="nil"/>
              <w:bottom w:val="nil"/>
              <w:right w:val="nil"/>
            </w:tcBorders>
            <w:noWrap w:val="0"/>
            <w:vAlign w:val="top"/>
          </w:tcPr>
          <w:p>
            <w:pPr>
              <w:adjustRightInd w:val="0"/>
              <w:snapToGrid w:val="0"/>
              <w:spacing w:line="400" w:lineRule="exact"/>
              <w:rPr>
                <w:rFonts w:eastAsia="仿宋_GB2312"/>
                <w:color w:val="000000"/>
                <w:sz w:val="18"/>
                <w:szCs w:val="18"/>
              </w:rPr>
            </w:pPr>
            <w:r>
              <w:rPr>
                <w:rFonts w:eastAsia="仿宋_GB2312"/>
                <w:color w:val="000000"/>
                <w:sz w:val="18"/>
                <w:szCs w:val="18"/>
              </w:rPr>
              <w:t>7.</w:t>
            </w:r>
            <w:r>
              <w:rPr>
                <w:rFonts w:hint="eastAsia" w:eastAsia="仿宋_GB2312"/>
                <w:color w:val="000000"/>
                <w:sz w:val="18"/>
                <w:szCs w:val="18"/>
              </w:rPr>
              <w:t>如以上条款中有未尽事项，由</w:t>
            </w:r>
            <w:r>
              <w:rPr>
                <w:rFonts w:hint="eastAsia" w:eastAsia="仿宋_GB2312"/>
                <w:color w:val="000000"/>
                <w:sz w:val="18"/>
                <w:szCs w:val="18"/>
                <w:lang w:val="en-US" w:eastAsia="zh-CN"/>
              </w:rPr>
              <w:t>院</w:t>
            </w:r>
            <w:r>
              <w:rPr>
                <w:rFonts w:hint="eastAsia" w:eastAsia="仿宋_GB2312"/>
                <w:color w:val="000000"/>
                <w:sz w:val="18"/>
                <w:szCs w:val="18"/>
              </w:rPr>
              <w:t>团委做出最终解释。各</w:t>
            </w:r>
            <w:r>
              <w:rPr>
                <w:rFonts w:hint="eastAsia" w:eastAsia="仿宋_GB2312"/>
                <w:color w:val="000000"/>
                <w:sz w:val="18"/>
                <w:szCs w:val="18"/>
                <w:lang w:val="en-US" w:eastAsia="zh-CN"/>
              </w:rPr>
              <w:t>有关</w:t>
            </w:r>
            <w:r>
              <w:rPr>
                <w:rFonts w:hint="eastAsia" w:eastAsia="仿宋_GB2312"/>
                <w:color w:val="000000"/>
                <w:sz w:val="18"/>
                <w:szCs w:val="18"/>
              </w:rPr>
              <w:t>部门的学分设置情况，由各部门做出最终解释。</w:t>
            </w:r>
          </w:p>
        </w:tc>
      </w:tr>
    </w:tbl>
    <w:p/>
    <w:sectPr>
      <w:pgSz w:w="16838" w:h="11906" w:orient="landscape"/>
      <w:pgMar w:top="1417" w:right="1984" w:bottom="1417"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- 8 -</w:t>
    </w:r>
    <w:r>
      <w:rPr>
        <w:rFonts w:ascii="宋体" w:hAnsi="宋体"/>
        <w:sz w:val="28"/>
        <w:szCs w:val="28"/>
      </w:rPr>
      <w:fldChar w:fldCharType="end"/>
    </w:r>
  </w:p>
  <w:p>
    <w:pPr>
      <w:pStyle w:val="2"/>
      <w:ind w:right="36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86F07"/>
    <w:rsid w:val="04CA5855"/>
    <w:rsid w:val="131319D1"/>
    <w:rsid w:val="139B1F63"/>
    <w:rsid w:val="19FF41EF"/>
    <w:rsid w:val="1E0B7ED9"/>
    <w:rsid w:val="2BC97FB1"/>
    <w:rsid w:val="35F06267"/>
    <w:rsid w:val="3A4D02E5"/>
    <w:rsid w:val="437113C7"/>
    <w:rsid w:val="4A020B27"/>
    <w:rsid w:val="5541434C"/>
    <w:rsid w:val="5DE45E40"/>
    <w:rsid w:val="5E56365D"/>
    <w:rsid w:val="60684273"/>
    <w:rsid w:val="69986F07"/>
    <w:rsid w:val="6A375FFC"/>
    <w:rsid w:val="6E180AC0"/>
    <w:rsid w:val="713E188A"/>
    <w:rsid w:val="778C5A02"/>
    <w:rsid w:val="7FE6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2020-06-09T11:30:00Z</dcterms:created>
  <dc:creator>Administrator</dc:creator>
  <cp:lastModifiedBy>Administrator</cp:lastModifiedBy>
  <dcterms:modified xsi:type="dcterms:W3CDTF">2020-06-09T11:43:14Z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